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8D843" w14:textId="77777777" w:rsidR="00F00538" w:rsidRPr="00241644" w:rsidRDefault="007F1A09" w:rsidP="00C14BF2">
      <w:pPr>
        <w:pStyle w:val="Sansinterligne"/>
        <w:rPr>
          <w:color w:val="5B9BD5" w:themeColor="accent1"/>
        </w:rPr>
      </w:pPr>
      <w:r w:rsidRPr="00241644">
        <w:rPr>
          <w:color w:val="5B9BD5" w:themeColor="accent1"/>
        </w:rPr>
        <w:t>FICHE N° 6</w:t>
      </w:r>
    </w:p>
    <w:p w14:paraId="348D4AA6" w14:textId="77777777" w:rsidR="00241644" w:rsidRDefault="00241644" w:rsidP="00C14BF2">
      <w:pPr>
        <w:pStyle w:val="Sansinterligne"/>
      </w:pPr>
    </w:p>
    <w:p w14:paraId="2B7580A6" w14:textId="77777777" w:rsidR="00F00538" w:rsidRDefault="00F00538" w:rsidP="00F00538">
      <w:pPr>
        <w:pBdr>
          <w:top w:val="single" w:sz="4" w:space="1" w:color="0070C0"/>
          <w:left w:val="single" w:sz="4" w:space="4" w:color="0070C0"/>
          <w:bottom w:val="single" w:sz="4" w:space="1" w:color="0070C0"/>
          <w:right w:val="single" w:sz="4" w:space="4" w:color="0070C0"/>
        </w:pBdr>
        <w:jc w:val="center"/>
        <w:rPr>
          <w:rFonts w:ascii="Arial" w:hAnsi="Arial" w:cs="Arial"/>
          <w:b/>
          <w:color w:val="0070C0"/>
        </w:rPr>
      </w:pPr>
      <w:r>
        <w:rPr>
          <w:rFonts w:ascii="Arial" w:hAnsi="Arial" w:cs="Arial"/>
          <w:b/>
          <w:color w:val="0070C0"/>
        </w:rPr>
        <w:t xml:space="preserve">FONDS D’ACCOMPAGNEMENT </w:t>
      </w:r>
      <w:r w:rsidRPr="00430456">
        <w:rPr>
          <w:rFonts w:ascii="Arial" w:hAnsi="Arial" w:cs="Arial"/>
          <w:b/>
          <w:color w:val="0070C0"/>
        </w:rPr>
        <w:t>A</w:t>
      </w:r>
      <w:r>
        <w:rPr>
          <w:rFonts w:ascii="Arial" w:hAnsi="Arial" w:cs="Arial"/>
          <w:b/>
          <w:color w:val="0070C0"/>
        </w:rPr>
        <w:t xml:space="preserve"> LA TRANSFORMATION</w:t>
      </w:r>
      <w:r w:rsidR="003043E3">
        <w:rPr>
          <w:rFonts w:ascii="Arial" w:hAnsi="Arial" w:cs="Arial"/>
          <w:b/>
          <w:color w:val="0070C0"/>
        </w:rPr>
        <w:t xml:space="preserve"> DES ENTREPRISES ADAPTEE</w:t>
      </w:r>
      <w:r w:rsidR="00F05BB7">
        <w:rPr>
          <w:rFonts w:ascii="Arial" w:hAnsi="Arial" w:cs="Arial"/>
          <w:b/>
          <w:color w:val="0070C0"/>
        </w:rPr>
        <w:t>S</w:t>
      </w:r>
    </w:p>
    <w:p w14:paraId="55D51893" w14:textId="7EBD1E4E" w:rsidR="004235EA" w:rsidRDefault="004235EA" w:rsidP="002B45C2">
      <w:pPr>
        <w:jc w:val="both"/>
        <w:rPr>
          <w:bCs/>
        </w:rPr>
      </w:pPr>
      <w:r>
        <w:rPr>
          <w:bCs/>
        </w:rPr>
        <w:t>La</w:t>
      </w:r>
      <w:r w:rsidR="002238A7">
        <w:rPr>
          <w:bCs/>
        </w:rPr>
        <w:t xml:space="preserve"> mise en œuvre du nouveau cadre </w:t>
      </w:r>
      <w:r>
        <w:rPr>
          <w:bCs/>
        </w:rPr>
        <w:t>d’intervention</w:t>
      </w:r>
      <w:r w:rsidR="002238A7">
        <w:rPr>
          <w:bCs/>
        </w:rPr>
        <w:t xml:space="preserve"> des entreprises adaptées vise à</w:t>
      </w:r>
      <w:r>
        <w:rPr>
          <w:bCs/>
        </w:rPr>
        <w:t xml:space="preserve"> parachever l’ancrage, initié par la loi de 2005, de ces structures dans une logique d’entreprise du milieu ordinaire de travail pleinement inscrites dans l’économie concurrentielle. Cette ambition appelle au renforcement de </w:t>
      </w:r>
      <w:r w:rsidR="002238A7">
        <w:rPr>
          <w:bCs/>
        </w:rPr>
        <w:t>leur responsabilité économique</w:t>
      </w:r>
      <w:r>
        <w:rPr>
          <w:bCs/>
        </w:rPr>
        <w:t xml:space="preserve"> en s’appuyant sur </w:t>
      </w:r>
      <w:r w:rsidR="00352592">
        <w:rPr>
          <w:bCs/>
        </w:rPr>
        <w:t xml:space="preserve">la </w:t>
      </w:r>
      <w:r>
        <w:rPr>
          <w:bCs/>
        </w:rPr>
        <w:t xml:space="preserve">diversification des profils des travailleurs </w:t>
      </w:r>
      <w:r w:rsidR="002238A7">
        <w:rPr>
          <w:bCs/>
        </w:rPr>
        <w:t>pour un</w:t>
      </w:r>
      <w:r>
        <w:rPr>
          <w:bCs/>
        </w:rPr>
        <w:t xml:space="preserve"> modèle </w:t>
      </w:r>
      <w:r w:rsidR="00CD0A43">
        <w:rPr>
          <w:bCs/>
        </w:rPr>
        <w:t xml:space="preserve">plus ouvert </w:t>
      </w:r>
      <w:r w:rsidR="00352592">
        <w:rPr>
          <w:bCs/>
        </w:rPr>
        <w:t>de diversité et mixité</w:t>
      </w:r>
      <w:r>
        <w:rPr>
          <w:bCs/>
        </w:rPr>
        <w:t xml:space="preserve"> des publics et de</w:t>
      </w:r>
      <w:r w:rsidR="002238A7">
        <w:rPr>
          <w:bCs/>
        </w:rPr>
        <w:t xml:space="preserve"> moindre dépendance aux subventions publiques</w:t>
      </w:r>
      <w:r>
        <w:rPr>
          <w:bCs/>
        </w:rPr>
        <w:t>.</w:t>
      </w:r>
    </w:p>
    <w:p w14:paraId="6B1CA90D" w14:textId="77777777" w:rsidR="00460E89" w:rsidRPr="002B45C2" w:rsidRDefault="004235EA" w:rsidP="002B45C2">
      <w:pPr>
        <w:jc w:val="both"/>
        <w:rPr>
          <w:b/>
          <w:bCs/>
        </w:rPr>
      </w:pPr>
      <w:r>
        <w:rPr>
          <w:bCs/>
        </w:rPr>
        <w:t xml:space="preserve">Pour réussir cette transformation, une stratégie d’accompagnement de la modernisation et de la mutation économique des entreprises adaptées est nécessaire. </w:t>
      </w:r>
      <w:r w:rsidRPr="0023697D">
        <w:rPr>
          <w:b/>
          <w:bCs/>
        </w:rPr>
        <w:t xml:space="preserve">L’Etat en </w:t>
      </w:r>
      <w:r w:rsidR="003043E3" w:rsidRPr="0023697D">
        <w:rPr>
          <w:b/>
          <w:bCs/>
        </w:rPr>
        <w:t xml:space="preserve">en mobilisant des crédits pour </w:t>
      </w:r>
      <w:r w:rsidRPr="0023697D">
        <w:rPr>
          <w:b/>
          <w:bCs/>
        </w:rPr>
        <w:t xml:space="preserve">un fonds d’accompagnement à la </w:t>
      </w:r>
      <w:r w:rsidR="005406F4" w:rsidRPr="0023697D">
        <w:rPr>
          <w:b/>
          <w:bCs/>
        </w:rPr>
        <w:t xml:space="preserve">transformation </w:t>
      </w:r>
      <w:r w:rsidR="003043E3" w:rsidRPr="0023697D">
        <w:rPr>
          <w:b/>
          <w:bCs/>
        </w:rPr>
        <w:t xml:space="preserve">des entreprises adaptées </w:t>
      </w:r>
      <w:r w:rsidR="005406F4" w:rsidRPr="0023697D">
        <w:rPr>
          <w:b/>
          <w:bCs/>
        </w:rPr>
        <w:t>rend possible les conditions</w:t>
      </w:r>
      <w:r w:rsidRPr="0023697D">
        <w:rPr>
          <w:b/>
          <w:bCs/>
        </w:rPr>
        <w:t xml:space="preserve"> pour </w:t>
      </w:r>
      <w:r w:rsidR="005406F4" w:rsidRPr="0023697D">
        <w:rPr>
          <w:b/>
          <w:bCs/>
        </w:rPr>
        <w:t>soutenir</w:t>
      </w:r>
      <w:r w:rsidRPr="0023697D">
        <w:rPr>
          <w:b/>
          <w:bCs/>
        </w:rPr>
        <w:t xml:space="preserve"> les mutations requises.</w:t>
      </w:r>
      <w:r>
        <w:rPr>
          <w:bCs/>
        </w:rPr>
        <w:t xml:space="preserve"> </w:t>
      </w:r>
      <w:r w:rsidR="005406F4">
        <w:rPr>
          <w:bCs/>
        </w:rPr>
        <w:t>I</w:t>
      </w:r>
      <w:r w:rsidR="002238A7">
        <w:rPr>
          <w:bCs/>
        </w:rPr>
        <w:t xml:space="preserve">l s’agit </w:t>
      </w:r>
      <w:r w:rsidR="005406F4">
        <w:rPr>
          <w:bCs/>
        </w:rPr>
        <w:t>de faciliter</w:t>
      </w:r>
      <w:r w:rsidR="0083731F">
        <w:rPr>
          <w:bCs/>
        </w:rPr>
        <w:t xml:space="preserve">, en lien avec d’autres financeurs, </w:t>
      </w:r>
      <w:r w:rsidR="002238A7">
        <w:rPr>
          <w:bCs/>
        </w:rPr>
        <w:t>la transformation</w:t>
      </w:r>
      <w:r w:rsidR="005406F4">
        <w:rPr>
          <w:bCs/>
        </w:rPr>
        <w:t xml:space="preserve"> économique</w:t>
      </w:r>
      <w:r w:rsidR="002238A7">
        <w:rPr>
          <w:bCs/>
        </w:rPr>
        <w:t xml:space="preserve"> </w:t>
      </w:r>
      <w:r w:rsidR="00352592">
        <w:rPr>
          <w:bCs/>
        </w:rPr>
        <w:t xml:space="preserve">dans le renforcement de l’optique inclusive </w:t>
      </w:r>
      <w:r w:rsidR="002238A7">
        <w:rPr>
          <w:bCs/>
        </w:rPr>
        <w:t xml:space="preserve">et </w:t>
      </w:r>
      <w:r w:rsidR="0083731F">
        <w:rPr>
          <w:bCs/>
        </w:rPr>
        <w:t xml:space="preserve">d’encourager </w:t>
      </w:r>
      <w:r w:rsidR="005406F4">
        <w:rPr>
          <w:bCs/>
        </w:rPr>
        <w:t xml:space="preserve">le </w:t>
      </w:r>
      <w:r w:rsidR="002238A7">
        <w:rPr>
          <w:bCs/>
        </w:rPr>
        <w:t>développement de</w:t>
      </w:r>
      <w:r w:rsidR="005406F4">
        <w:rPr>
          <w:bCs/>
        </w:rPr>
        <w:t xml:space="preserve">s </w:t>
      </w:r>
      <w:r w:rsidR="00460E89" w:rsidRPr="008D1755">
        <w:rPr>
          <w:bCs/>
        </w:rPr>
        <w:t>capacité</w:t>
      </w:r>
      <w:r w:rsidR="005406F4">
        <w:rPr>
          <w:bCs/>
        </w:rPr>
        <w:t>s des entreprises adaptées</w:t>
      </w:r>
      <w:r w:rsidR="00460E89" w:rsidRPr="008D1755">
        <w:rPr>
          <w:bCs/>
        </w:rPr>
        <w:t xml:space="preserve"> </w:t>
      </w:r>
      <w:r w:rsidR="00BA2D88" w:rsidRPr="008D1755">
        <w:rPr>
          <w:bCs/>
        </w:rPr>
        <w:t xml:space="preserve">à </w:t>
      </w:r>
      <w:r w:rsidR="00BA2D88" w:rsidRPr="003A2401">
        <w:rPr>
          <w:bCs/>
        </w:rPr>
        <w:t>proposer</w:t>
      </w:r>
      <w:r w:rsidR="00460E89" w:rsidRPr="008D1755">
        <w:rPr>
          <w:bCs/>
        </w:rPr>
        <w:t xml:space="preserve"> des activités en cohérence avec les besoins économiques et sociaux des territoires</w:t>
      </w:r>
      <w:r w:rsidR="0083731F">
        <w:rPr>
          <w:bCs/>
        </w:rPr>
        <w:t xml:space="preserve">. </w:t>
      </w:r>
      <w:r w:rsidR="00460E89" w:rsidRPr="008D1755">
        <w:rPr>
          <w:bCs/>
        </w:rPr>
        <w:t xml:space="preserve"> </w:t>
      </w:r>
    </w:p>
    <w:p w14:paraId="458E35E8" w14:textId="77777777" w:rsidR="00880F98" w:rsidRPr="00524FD8" w:rsidRDefault="00880F98" w:rsidP="00524FD8">
      <w:pPr>
        <w:pStyle w:val="Paragraphedeliste"/>
        <w:numPr>
          <w:ilvl w:val="0"/>
          <w:numId w:val="11"/>
        </w:numPr>
        <w:spacing w:after="200" w:line="276" w:lineRule="auto"/>
        <w:rPr>
          <w:rFonts w:ascii="Arial" w:hAnsi="Arial" w:cs="Arial"/>
          <w:b/>
          <w:color w:val="0070C0"/>
        </w:rPr>
      </w:pPr>
      <w:r w:rsidRPr="00524FD8">
        <w:rPr>
          <w:rFonts w:ascii="Arial" w:hAnsi="Arial" w:cs="Arial"/>
          <w:b/>
          <w:color w:val="0070C0"/>
        </w:rPr>
        <w:t xml:space="preserve">Objet du fonds </w:t>
      </w:r>
      <w:r w:rsidRPr="003C6DD3">
        <w:rPr>
          <w:rFonts w:ascii="Arial" w:hAnsi="Arial" w:cs="Arial"/>
          <w:b/>
          <w:color w:val="0070C0"/>
        </w:rPr>
        <w:t xml:space="preserve">d’accompagnement </w:t>
      </w:r>
      <w:r w:rsidR="005E713F">
        <w:rPr>
          <w:rFonts w:ascii="Arial" w:hAnsi="Arial" w:cs="Arial"/>
          <w:b/>
          <w:color w:val="0070C0"/>
        </w:rPr>
        <w:t>à</w:t>
      </w:r>
      <w:r w:rsidR="005E713F" w:rsidRPr="00524FD8">
        <w:rPr>
          <w:rFonts w:ascii="Arial" w:hAnsi="Arial" w:cs="Arial"/>
          <w:b/>
          <w:color w:val="0070C0"/>
        </w:rPr>
        <w:t xml:space="preserve"> </w:t>
      </w:r>
      <w:r w:rsidRPr="00524FD8">
        <w:rPr>
          <w:rFonts w:ascii="Arial" w:hAnsi="Arial" w:cs="Arial"/>
          <w:b/>
          <w:color w:val="0070C0"/>
        </w:rPr>
        <w:t xml:space="preserve">la transformation des entreprises adaptées </w:t>
      </w:r>
    </w:p>
    <w:p w14:paraId="7BB6EB8E" w14:textId="77777777" w:rsidR="002B45C2" w:rsidRDefault="002B45C2" w:rsidP="002B45C2">
      <w:pPr>
        <w:jc w:val="both"/>
        <w:rPr>
          <w:bCs/>
        </w:rPr>
      </w:pPr>
      <w:r w:rsidRPr="0023697D">
        <w:rPr>
          <w:b/>
          <w:bCs/>
        </w:rPr>
        <w:t>Ce</w:t>
      </w:r>
      <w:r w:rsidRPr="002B45C2">
        <w:rPr>
          <w:bCs/>
        </w:rPr>
        <w:t xml:space="preserve"> </w:t>
      </w:r>
      <w:r w:rsidR="0099126C">
        <w:rPr>
          <w:b/>
          <w:bCs/>
        </w:rPr>
        <w:t>fond</w:t>
      </w:r>
      <w:r w:rsidR="00AC0E4D" w:rsidRPr="00A72E2A">
        <w:rPr>
          <w:b/>
          <w:bCs/>
        </w:rPr>
        <w:t>s</w:t>
      </w:r>
      <w:r w:rsidR="0099126C" w:rsidRPr="002B45C2">
        <w:rPr>
          <w:b/>
          <w:bCs/>
        </w:rPr>
        <w:t xml:space="preserve"> d’accompagnement </w:t>
      </w:r>
      <w:r w:rsidR="005E713F">
        <w:rPr>
          <w:b/>
          <w:bCs/>
        </w:rPr>
        <w:t>à</w:t>
      </w:r>
      <w:r w:rsidR="005E713F" w:rsidRPr="002B45C2">
        <w:rPr>
          <w:b/>
          <w:bCs/>
        </w:rPr>
        <w:t xml:space="preserve"> </w:t>
      </w:r>
      <w:r w:rsidR="0099126C" w:rsidRPr="002B45C2">
        <w:rPr>
          <w:b/>
          <w:bCs/>
        </w:rPr>
        <w:t xml:space="preserve">la </w:t>
      </w:r>
      <w:r w:rsidR="0099126C">
        <w:rPr>
          <w:b/>
          <w:bCs/>
        </w:rPr>
        <w:t>transformation</w:t>
      </w:r>
      <w:r w:rsidR="0099126C" w:rsidRPr="002B45C2">
        <w:rPr>
          <w:b/>
          <w:bCs/>
        </w:rPr>
        <w:t xml:space="preserve"> des</w:t>
      </w:r>
      <w:r w:rsidR="0099126C">
        <w:rPr>
          <w:b/>
          <w:bCs/>
        </w:rPr>
        <w:t xml:space="preserve"> </w:t>
      </w:r>
      <w:r w:rsidR="0099126C" w:rsidRPr="002B45C2">
        <w:rPr>
          <w:b/>
          <w:bCs/>
        </w:rPr>
        <w:t>entreprises adaptées (</w:t>
      </w:r>
      <w:r w:rsidR="000013C3" w:rsidRPr="002B45C2">
        <w:rPr>
          <w:b/>
          <w:bCs/>
        </w:rPr>
        <w:t xml:space="preserve">EA) </w:t>
      </w:r>
      <w:r w:rsidR="000013C3">
        <w:rPr>
          <w:bCs/>
        </w:rPr>
        <w:t>constitue</w:t>
      </w:r>
      <w:r w:rsidR="0099126C">
        <w:rPr>
          <w:bCs/>
        </w:rPr>
        <w:t xml:space="preserve"> un appui</w:t>
      </w:r>
      <w:r w:rsidR="00880F98">
        <w:rPr>
          <w:bCs/>
        </w:rPr>
        <w:t>/outil</w:t>
      </w:r>
      <w:r w:rsidR="0099126C">
        <w:rPr>
          <w:bCs/>
        </w:rPr>
        <w:t xml:space="preserve"> supplémentaire de l’Etat</w:t>
      </w:r>
      <w:r w:rsidR="00A2545D">
        <w:rPr>
          <w:bCs/>
        </w:rPr>
        <w:t xml:space="preserve">. Il </w:t>
      </w:r>
      <w:r w:rsidR="00A2545D" w:rsidRPr="0023697D">
        <w:rPr>
          <w:b/>
          <w:bCs/>
        </w:rPr>
        <w:t>est</w:t>
      </w:r>
      <w:r w:rsidR="002238A7" w:rsidRPr="0023697D">
        <w:rPr>
          <w:b/>
          <w:bCs/>
        </w:rPr>
        <w:t xml:space="preserve"> mis en place à titre transitoire sur la période 2019-2022</w:t>
      </w:r>
      <w:r w:rsidR="001D4DD7">
        <w:rPr>
          <w:bCs/>
        </w:rPr>
        <w:t xml:space="preserve"> avec une enveloppe fixée annuellement</w:t>
      </w:r>
      <w:r w:rsidR="00823D00" w:rsidRPr="00823D00">
        <w:rPr>
          <w:bCs/>
        </w:rPr>
        <w:t xml:space="preserve"> </w:t>
      </w:r>
      <w:r w:rsidR="00823D00">
        <w:rPr>
          <w:bCs/>
        </w:rPr>
        <w:t>afin d’accroître l’optique inclusive des entreprises adaptées</w:t>
      </w:r>
      <w:r w:rsidR="002238A7">
        <w:rPr>
          <w:bCs/>
        </w:rPr>
        <w:t xml:space="preserve">. </w:t>
      </w:r>
      <w:r w:rsidR="0099126C">
        <w:rPr>
          <w:bCs/>
        </w:rPr>
        <w:t>Ce fonds</w:t>
      </w:r>
      <w:r w:rsidR="003043E3">
        <w:rPr>
          <w:rStyle w:val="Appelnotedebasdep"/>
          <w:bCs/>
        </w:rPr>
        <w:footnoteReference w:id="1"/>
      </w:r>
      <w:r w:rsidR="0083731F">
        <w:rPr>
          <w:bCs/>
        </w:rPr>
        <w:t xml:space="preserve">, </w:t>
      </w:r>
      <w:r w:rsidR="00880F98">
        <w:rPr>
          <w:bCs/>
        </w:rPr>
        <w:t>géré par le préfet de région qui arrête les montant</w:t>
      </w:r>
      <w:r w:rsidR="005406F4">
        <w:rPr>
          <w:bCs/>
        </w:rPr>
        <w:t>s</w:t>
      </w:r>
      <w:r w:rsidR="00880F98">
        <w:rPr>
          <w:bCs/>
        </w:rPr>
        <w:t xml:space="preserve"> des aides accordées</w:t>
      </w:r>
      <w:r w:rsidR="0083731F">
        <w:rPr>
          <w:bCs/>
        </w:rPr>
        <w:t xml:space="preserve">, </w:t>
      </w:r>
      <w:r w:rsidR="00326024">
        <w:rPr>
          <w:bCs/>
        </w:rPr>
        <w:t>doit permettre</w:t>
      </w:r>
      <w:r w:rsidR="0083731F">
        <w:rPr>
          <w:bCs/>
        </w:rPr>
        <w:t xml:space="preserve"> </w:t>
      </w:r>
      <w:r w:rsidRPr="002B45C2">
        <w:rPr>
          <w:bCs/>
        </w:rPr>
        <w:t>:</w:t>
      </w:r>
    </w:p>
    <w:p w14:paraId="3377A477" w14:textId="77777777" w:rsidR="00F05BB7" w:rsidRDefault="0083731F" w:rsidP="002B45C2">
      <w:pPr>
        <w:jc w:val="both"/>
        <w:rPr>
          <w:bCs/>
        </w:rPr>
      </w:pPr>
      <w:r w:rsidRPr="002B45C2">
        <w:rPr>
          <w:bCs/>
        </w:rPr>
        <w:t xml:space="preserve">- </w:t>
      </w:r>
      <w:r>
        <w:rPr>
          <w:bCs/>
        </w:rPr>
        <w:t>d’accompagner</w:t>
      </w:r>
      <w:r w:rsidR="004763CD">
        <w:rPr>
          <w:bCs/>
        </w:rPr>
        <w:t xml:space="preserve"> et </w:t>
      </w:r>
      <w:r w:rsidR="00A72E2A">
        <w:rPr>
          <w:bCs/>
        </w:rPr>
        <w:t>soutenir :</w:t>
      </w:r>
      <w:r w:rsidR="00F05BB7">
        <w:rPr>
          <w:bCs/>
        </w:rPr>
        <w:t xml:space="preserve"> </w:t>
      </w:r>
    </w:p>
    <w:p w14:paraId="0FED4911" w14:textId="4A5758E0" w:rsidR="004763CD" w:rsidRDefault="0083731F" w:rsidP="00A72E2A">
      <w:pPr>
        <w:pStyle w:val="Paragraphedeliste"/>
        <w:numPr>
          <w:ilvl w:val="0"/>
          <w:numId w:val="19"/>
        </w:numPr>
        <w:jc w:val="both"/>
        <w:rPr>
          <w:bCs/>
        </w:rPr>
      </w:pPr>
      <w:r w:rsidRPr="00F05BB7">
        <w:rPr>
          <w:bCs/>
        </w:rPr>
        <w:t>les transformations des organisations,</w:t>
      </w:r>
      <w:r w:rsidR="004763CD">
        <w:rPr>
          <w:bCs/>
        </w:rPr>
        <w:t xml:space="preserve"> notamment en structurant</w:t>
      </w:r>
      <w:r w:rsidR="00460078">
        <w:rPr>
          <w:bCs/>
        </w:rPr>
        <w:t xml:space="preserve"> ou en </w:t>
      </w:r>
      <w:r w:rsidR="00047778">
        <w:rPr>
          <w:bCs/>
        </w:rPr>
        <w:t>consolidant</w:t>
      </w:r>
      <w:r w:rsidR="004763CD">
        <w:rPr>
          <w:bCs/>
        </w:rPr>
        <w:t xml:space="preserve"> la capacité de ces entreprises à proposer dans une logique de parcours</w:t>
      </w:r>
      <w:r w:rsidR="00047778">
        <w:rPr>
          <w:bCs/>
        </w:rPr>
        <w:t xml:space="preserve"> professionnel</w:t>
      </w:r>
      <w:r w:rsidR="00A2545D">
        <w:rPr>
          <w:bCs/>
        </w:rPr>
        <w:t>,</w:t>
      </w:r>
      <w:r w:rsidR="00047778">
        <w:rPr>
          <w:bCs/>
        </w:rPr>
        <w:t xml:space="preserve"> tant aux travailleurs handicapés qu’aux autres employeurs « classiques »</w:t>
      </w:r>
      <w:r w:rsidR="004763CD">
        <w:rPr>
          <w:bCs/>
        </w:rPr>
        <w:t>, une réponse accompagnée mobilisant  les leviers tels que l’acquisition</w:t>
      </w:r>
      <w:r w:rsidRPr="00F05BB7">
        <w:rPr>
          <w:bCs/>
        </w:rPr>
        <w:t xml:space="preserve"> </w:t>
      </w:r>
      <w:r w:rsidR="004763CD">
        <w:rPr>
          <w:bCs/>
        </w:rPr>
        <w:t>de compétences, l’adaptation de l’environnement de travail</w:t>
      </w:r>
      <w:r w:rsidR="00047778">
        <w:rPr>
          <w:bCs/>
        </w:rPr>
        <w:t>, l’inscription dans une expérimentation visant à favoriser les transitions professionnelles (CDD tremplin, EATT) ;</w:t>
      </w:r>
      <w:r w:rsidR="004763CD">
        <w:rPr>
          <w:bCs/>
        </w:rPr>
        <w:t xml:space="preserve"> </w:t>
      </w:r>
    </w:p>
    <w:p w14:paraId="1D18D0DE" w14:textId="77777777" w:rsidR="0083731F" w:rsidRPr="004763CD" w:rsidRDefault="0083731F" w:rsidP="00A72E2A">
      <w:pPr>
        <w:pStyle w:val="Paragraphedeliste"/>
        <w:numPr>
          <w:ilvl w:val="0"/>
          <w:numId w:val="19"/>
        </w:numPr>
        <w:jc w:val="both"/>
        <w:rPr>
          <w:bCs/>
        </w:rPr>
      </w:pPr>
      <w:r w:rsidRPr="00F05BB7">
        <w:rPr>
          <w:bCs/>
        </w:rPr>
        <w:t>l’adaptation et l</w:t>
      </w:r>
      <w:r w:rsidRPr="004763CD">
        <w:rPr>
          <w:bCs/>
        </w:rPr>
        <w:t>’anticipation de l’évolution des emplois et des compétences</w:t>
      </w:r>
      <w:r w:rsidR="00A2545D">
        <w:rPr>
          <w:bCs/>
        </w:rPr>
        <w:t>, indispensables</w:t>
      </w:r>
      <w:r w:rsidR="00A2545D" w:rsidRPr="004763CD">
        <w:rPr>
          <w:bCs/>
        </w:rPr>
        <w:t xml:space="preserve"> </w:t>
      </w:r>
      <w:r w:rsidRPr="004763CD">
        <w:rPr>
          <w:bCs/>
        </w:rPr>
        <w:t xml:space="preserve">à </w:t>
      </w:r>
      <w:r w:rsidR="00047778" w:rsidRPr="004763CD">
        <w:rPr>
          <w:bCs/>
        </w:rPr>
        <w:t>l</w:t>
      </w:r>
      <w:r w:rsidR="00047778">
        <w:rPr>
          <w:bCs/>
        </w:rPr>
        <w:t>’</w:t>
      </w:r>
      <w:r w:rsidRPr="004763CD">
        <w:rPr>
          <w:bCs/>
        </w:rPr>
        <w:t xml:space="preserve">ancrage définitif </w:t>
      </w:r>
      <w:r w:rsidR="00047778">
        <w:rPr>
          <w:bCs/>
        </w:rPr>
        <w:t xml:space="preserve"> des entreprises adaptées </w:t>
      </w:r>
      <w:r w:rsidRPr="004763CD">
        <w:rPr>
          <w:bCs/>
        </w:rPr>
        <w:t>dans l’environnement économique des territoires d’implantation</w:t>
      </w:r>
      <w:r w:rsidR="00823D00">
        <w:rPr>
          <w:bCs/>
        </w:rPr>
        <w:t xml:space="preserve"> et </w:t>
      </w:r>
      <w:r w:rsidR="00A2545D">
        <w:rPr>
          <w:bCs/>
        </w:rPr>
        <w:t xml:space="preserve">nécessaires </w:t>
      </w:r>
      <w:r w:rsidR="00823D00">
        <w:rPr>
          <w:bCs/>
        </w:rPr>
        <w:t>pour relever le défi d’un modèle de diversité et de mixité plus ouvert</w:t>
      </w:r>
      <w:r w:rsidRPr="004763CD">
        <w:rPr>
          <w:bCs/>
        </w:rPr>
        <w:t xml:space="preserve"> ; </w:t>
      </w:r>
    </w:p>
    <w:p w14:paraId="5C119742" w14:textId="2054954D" w:rsidR="00284A7A" w:rsidRPr="00A72E2A" w:rsidRDefault="002B45C2" w:rsidP="00A72E2A">
      <w:pPr>
        <w:jc w:val="both"/>
        <w:rPr>
          <w:bCs/>
        </w:rPr>
      </w:pPr>
      <w:r w:rsidRPr="002B45C2">
        <w:rPr>
          <w:bCs/>
        </w:rPr>
        <w:t xml:space="preserve">- </w:t>
      </w:r>
      <w:r w:rsidR="0083731F">
        <w:rPr>
          <w:bCs/>
        </w:rPr>
        <w:t>d’encourager</w:t>
      </w:r>
      <w:r w:rsidR="00C82AD0">
        <w:rPr>
          <w:bCs/>
        </w:rPr>
        <w:t>, notamment par des opérations de croissance externe,</w:t>
      </w:r>
      <w:r w:rsidR="0083731F">
        <w:rPr>
          <w:bCs/>
        </w:rPr>
        <w:t xml:space="preserve"> </w:t>
      </w:r>
      <w:r w:rsidR="0099126C">
        <w:rPr>
          <w:bCs/>
        </w:rPr>
        <w:t xml:space="preserve">la mise en place de </w:t>
      </w:r>
      <w:r w:rsidR="0099126C" w:rsidRPr="00F17F51">
        <w:rPr>
          <w:bCs/>
        </w:rPr>
        <w:t>nouvelle</w:t>
      </w:r>
      <w:r w:rsidR="00285D71" w:rsidRPr="00A72E2A">
        <w:rPr>
          <w:bCs/>
        </w:rPr>
        <w:t>s</w:t>
      </w:r>
      <w:r w:rsidR="0099126C" w:rsidRPr="00F17F51">
        <w:rPr>
          <w:bCs/>
        </w:rPr>
        <w:t xml:space="preserve"> production</w:t>
      </w:r>
      <w:r w:rsidR="00285D71" w:rsidRPr="00A72E2A">
        <w:rPr>
          <w:bCs/>
        </w:rPr>
        <w:t>s</w:t>
      </w:r>
      <w:r w:rsidR="0099126C" w:rsidRPr="00F17F51">
        <w:rPr>
          <w:bCs/>
        </w:rPr>
        <w:t xml:space="preserve"> </w:t>
      </w:r>
      <w:r w:rsidR="0099126C">
        <w:rPr>
          <w:bCs/>
        </w:rPr>
        <w:t xml:space="preserve">ou la diversification </w:t>
      </w:r>
      <w:r w:rsidR="00E04D1E">
        <w:rPr>
          <w:bCs/>
        </w:rPr>
        <w:t xml:space="preserve">des </w:t>
      </w:r>
      <w:r w:rsidR="00901B41">
        <w:rPr>
          <w:bCs/>
        </w:rPr>
        <w:t>donneurs d’ordre</w:t>
      </w:r>
      <w:r w:rsidR="00E04D1E">
        <w:rPr>
          <w:bCs/>
        </w:rPr>
        <w:t xml:space="preserve"> et </w:t>
      </w:r>
      <w:r w:rsidR="0099126C">
        <w:rPr>
          <w:bCs/>
        </w:rPr>
        <w:t>des activités</w:t>
      </w:r>
      <w:r w:rsidR="00A56CF3">
        <w:rPr>
          <w:bCs/>
        </w:rPr>
        <w:t xml:space="preserve"> </w:t>
      </w:r>
      <w:r w:rsidR="0099126C">
        <w:rPr>
          <w:bCs/>
        </w:rPr>
        <w:t xml:space="preserve">supports d’emploi en vue d’un </w:t>
      </w:r>
      <w:r>
        <w:rPr>
          <w:bCs/>
        </w:rPr>
        <w:t xml:space="preserve">véritable changement d’échelle en faveur du </w:t>
      </w:r>
      <w:r w:rsidRPr="002B45C2">
        <w:rPr>
          <w:bCs/>
        </w:rPr>
        <w:t>développe</w:t>
      </w:r>
      <w:r>
        <w:rPr>
          <w:bCs/>
        </w:rPr>
        <w:t>ment</w:t>
      </w:r>
      <w:r w:rsidR="0084056D">
        <w:rPr>
          <w:bCs/>
        </w:rPr>
        <w:t xml:space="preserve"> de</w:t>
      </w:r>
      <w:r w:rsidRPr="002B45C2">
        <w:rPr>
          <w:bCs/>
        </w:rPr>
        <w:t xml:space="preserve"> l’emploi des travailleurs handicapés</w:t>
      </w:r>
      <w:r w:rsidR="00F17F51">
        <w:rPr>
          <w:bCs/>
        </w:rPr>
        <w:t>.</w:t>
      </w:r>
    </w:p>
    <w:p w14:paraId="29E4AB2D" w14:textId="77777777" w:rsidR="00284A7A" w:rsidRPr="002B45C2" w:rsidRDefault="00284A7A" w:rsidP="00A866BB">
      <w:pPr>
        <w:jc w:val="both"/>
        <w:rPr>
          <w:bCs/>
        </w:rPr>
      </w:pPr>
    </w:p>
    <w:p w14:paraId="44879BEA" w14:textId="77777777" w:rsidR="00823D00" w:rsidRDefault="00E87885" w:rsidP="00422BA0">
      <w:pPr>
        <w:jc w:val="both"/>
        <w:rPr>
          <w:bCs/>
        </w:rPr>
      </w:pPr>
      <w:r>
        <w:rPr>
          <w:bCs/>
        </w:rPr>
        <w:lastRenderedPageBreak/>
        <w:t>Cette transformation</w:t>
      </w:r>
      <w:r w:rsidR="002B45C2" w:rsidRPr="002B45C2">
        <w:rPr>
          <w:bCs/>
        </w:rPr>
        <w:t xml:space="preserve"> mobilise les services de </w:t>
      </w:r>
      <w:r w:rsidRPr="002B45C2">
        <w:rPr>
          <w:bCs/>
        </w:rPr>
        <w:t xml:space="preserve">l’Etat </w:t>
      </w:r>
      <w:r w:rsidR="00C82AD0">
        <w:rPr>
          <w:bCs/>
        </w:rPr>
        <w:t xml:space="preserve">à la fois </w:t>
      </w:r>
      <w:r w:rsidR="002B45C2" w:rsidRPr="002B45C2">
        <w:rPr>
          <w:bCs/>
        </w:rPr>
        <w:t>au</w:t>
      </w:r>
      <w:r w:rsidR="00C82AD0">
        <w:rPr>
          <w:bCs/>
        </w:rPr>
        <w:t>x</w:t>
      </w:r>
      <w:r w:rsidR="002B45C2" w:rsidRPr="002B45C2">
        <w:rPr>
          <w:bCs/>
        </w:rPr>
        <w:t xml:space="preserve"> niveau</w:t>
      </w:r>
      <w:r w:rsidR="00C82AD0">
        <w:rPr>
          <w:bCs/>
        </w:rPr>
        <w:t>x</w:t>
      </w:r>
      <w:r w:rsidR="002B45C2" w:rsidRPr="002B45C2">
        <w:rPr>
          <w:bCs/>
        </w:rPr>
        <w:t xml:space="preserve"> régional </w:t>
      </w:r>
      <w:r w:rsidR="00C82AD0">
        <w:rPr>
          <w:bCs/>
        </w:rPr>
        <w:t>et</w:t>
      </w:r>
      <w:r>
        <w:rPr>
          <w:bCs/>
        </w:rPr>
        <w:t xml:space="preserve"> </w:t>
      </w:r>
      <w:r w:rsidR="002169AF">
        <w:rPr>
          <w:bCs/>
        </w:rPr>
        <w:t xml:space="preserve">départemental pour construire </w:t>
      </w:r>
      <w:r w:rsidR="002B45C2" w:rsidRPr="002B45C2">
        <w:rPr>
          <w:bCs/>
        </w:rPr>
        <w:t>l’appui</w:t>
      </w:r>
      <w:r w:rsidR="002B45C2">
        <w:rPr>
          <w:bCs/>
        </w:rPr>
        <w:t xml:space="preserve"> </w:t>
      </w:r>
      <w:r w:rsidR="002B45C2" w:rsidRPr="002B45C2">
        <w:rPr>
          <w:bCs/>
        </w:rPr>
        <w:t>aux entreprises adaptées</w:t>
      </w:r>
      <w:r w:rsidR="0083731F">
        <w:rPr>
          <w:bCs/>
        </w:rPr>
        <w:t xml:space="preserve"> dont la situation économique le nécessite et qui présentent un projet</w:t>
      </w:r>
      <w:r w:rsidR="00942BA9">
        <w:rPr>
          <w:bCs/>
        </w:rPr>
        <w:t xml:space="preserve"> d’évolution</w:t>
      </w:r>
      <w:r w:rsidR="00823D00">
        <w:rPr>
          <w:bCs/>
        </w:rPr>
        <w:t xml:space="preserve"> structurelle</w:t>
      </w:r>
      <w:r w:rsidR="0083731F">
        <w:rPr>
          <w:bCs/>
        </w:rPr>
        <w:t xml:space="preserve"> viable.</w:t>
      </w:r>
      <w:r w:rsidR="002B45C2" w:rsidRPr="002B45C2">
        <w:rPr>
          <w:bCs/>
        </w:rPr>
        <w:t xml:space="preserve"> </w:t>
      </w:r>
    </w:p>
    <w:p w14:paraId="21752D30" w14:textId="77777777" w:rsidR="002B45C2" w:rsidRPr="002B45C2" w:rsidRDefault="00E87885" w:rsidP="00422BA0">
      <w:pPr>
        <w:jc w:val="both"/>
        <w:rPr>
          <w:bCs/>
        </w:rPr>
      </w:pPr>
      <w:r>
        <w:rPr>
          <w:bCs/>
        </w:rPr>
        <w:t xml:space="preserve">Sa réussite </w:t>
      </w:r>
      <w:r w:rsidR="00086567">
        <w:rPr>
          <w:bCs/>
        </w:rPr>
        <w:t>repose</w:t>
      </w:r>
      <w:r w:rsidR="00086567" w:rsidRPr="002B45C2">
        <w:rPr>
          <w:bCs/>
        </w:rPr>
        <w:t xml:space="preserve"> </w:t>
      </w:r>
      <w:r w:rsidR="00086567">
        <w:rPr>
          <w:bCs/>
        </w:rPr>
        <w:t>sur</w:t>
      </w:r>
      <w:r w:rsidR="00501DBC">
        <w:rPr>
          <w:bCs/>
        </w:rPr>
        <w:t xml:space="preserve"> </w:t>
      </w:r>
      <w:r w:rsidR="00823D00">
        <w:rPr>
          <w:bCs/>
        </w:rPr>
        <w:t>la meilleure</w:t>
      </w:r>
      <w:r w:rsidRPr="005F38BE">
        <w:rPr>
          <w:bCs/>
        </w:rPr>
        <w:t xml:space="preserve"> combinaison entre </w:t>
      </w:r>
      <w:r w:rsidR="00A72E2A" w:rsidRPr="005F38BE">
        <w:rPr>
          <w:bCs/>
        </w:rPr>
        <w:t>l</w:t>
      </w:r>
      <w:r w:rsidR="00A72E2A">
        <w:rPr>
          <w:bCs/>
        </w:rPr>
        <w:t xml:space="preserve">’appui </w:t>
      </w:r>
      <w:r w:rsidR="00A72E2A" w:rsidRPr="005F38BE">
        <w:rPr>
          <w:bCs/>
        </w:rPr>
        <w:t>du</w:t>
      </w:r>
      <w:r w:rsidRPr="005F38BE">
        <w:rPr>
          <w:bCs/>
        </w:rPr>
        <w:t xml:space="preserve"> fonds et </w:t>
      </w:r>
      <w:r w:rsidR="0083731F">
        <w:rPr>
          <w:bCs/>
        </w:rPr>
        <w:t xml:space="preserve">les dispositifs ou concours </w:t>
      </w:r>
      <w:r w:rsidRPr="005F38BE">
        <w:rPr>
          <w:bCs/>
        </w:rPr>
        <w:t>préexistant</w:t>
      </w:r>
      <w:r w:rsidR="00C82AD0">
        <w:rPr>
          <w:bCs/>
        </w:rPr>
        <w:t>s</w:t>
      </w:r>
      <w:r w:rsidR="0083731F">
        <w:rPr>
          <w:bCs/>
        </w:rPr>
        <w:t xml:space="preserve"> ou mobilisables auprès d’autres </w:t>
      </w:r>
      <w:r w:rsidRPr="005F38BE">
        <w:rPr>
          <w:bCs/>
        </w:rPr>
        <w:t>acteurs territoriaux</w:t>
      </w:r>
      <w:r w:rsidR="00C82AD0">
        <w:rPr>
          <w:bCs/>
        </w:rPr>
        <w:t>,</w:t>
      </w:r>
      <w:r w:rsidRPr="005F38BE">
        <w:rPr>
          <w:bCs/>
        </w:rPr>
        <w:t xml:space="preserve"> parmi</w:t>
      </w:r>
      <w:r w:rsidR="00501DBC" w:rsidRPr="005F38BE">
        <w:rPr>
          <w:bCs/>
        </w:rPr>
        <w:t xml:space="preserve"> le</w:t>
      </w:r>
      <w:r w:rsidR="00880F98" w:rsidRPr="005F38BE">
        <w:rPr>
          <w:bCs/>
        </w:rPr>
        <w:t>s</w:t>
      </w:r>
      <w:r w:rsidR="00501DBC" w:rsidRPr="005F38BE">
        <w:rPr>
          <w:bCs/>
        </w:rPr>
        <w:t>quel</w:t>
      </w:r>
      <w:r w:rsidR="00880F98" w:rsidRPr="005F38BE">
        <w:rPr>
          <w:bCs/>
        </w:rPr>
        <w:t>s</w:t>
      </w:r>
      <w:r w:rsidRPr="005F38BE">
        <w:rPr>
          <w:bCs/>
        </w:rPr>
        <w:t xml:space="preserve"> </w:t>
      </w:r>
      <w:r w:rsidR="00A5351C">
        <w:rPr>
          <w:bCs/>
        </w:rPr>
        <w:t xml:space="preserve">le </w:t>
      </w:r>
      <w:r w:rsidR="005406F4">
        <w:rPr>
          <w:bCs/>
        </w:rPr>
        <w:t xml:space="preserve">Conseil </w:t>
      </w:r>
      <w:r w:rsidR="00A5351C">
        <w:rPr>
          <w:bCs/>
        </w:rPr>
        <w:t>régional</w:t>
      </w:r>
      <w:r w:rsidRPr="005F38BE">
        <w:rPr>
          <w:bCs/>
        </w:rPr>
        <w:t xml:space="preserve"> </w:t>
      </w:r>
      <w:r w:rsidR="0084056D">
        <w:rPr>
          <w:bCs/>
        </w:rPr>
        <w:t xml:space="preserve">qui </w:t>
      </w:r>
      <w:r w:rsidRPr="005F38BE">
        <w:rPr>
          <w:bCs/>
        </w:rPr>
        <w:t xml:space="preserve">constitue l’interlocuteur </w:t>
      </w:r>
      <w:r w:rsidR="00C82AD0">
        <w:rPr>
          <w:bCs/>
        </w:rPr>
        <w:t>incontournable</w:t>
      </w:r>
      <w:r w:rsidR="00C82AD0" w:rsidRPr="005F38BE">
        <w:rPr>
          <w:bCs/>
        </w:rPr>
        <w:t xml:space="preserve"> </w:t>
      </w:r>
      <w:r w:rsidRPr="005F38BE">
        <w:rPr>
          <w:bCs/>
        </w:rPr>
        <w:t>du fait de ses compétences en matière de développement économique.</w:t>
      </w:r>
      <w:r w:rsidR="002B45C2" w:rsidRPr="002B45C2">
        <w:rPr>
          <w:bCs/>
        </w:rPr>
        <w:t xml:space="preserve"> </w:t>
      </w:r>
      <w:r w:rsidR="00A85326">
        <w:rPr>
          <w:bCs/>
        </w:rPr>
        <w:t xml:space="preserve">Les intercommunalités </w:t>
      </w:r>
      <w:r w:rsidR="00C82AD0">
        <w:rPr>
          <w:bCs/>
        </w:rPr>
        <w:t xml:space="preserve">également compétentes </w:t>
      </w:r>
      <w:r w:rsidR="00A85326">
        <w:rPr>
          <w:bCs/>
        </w:rPr>
        <w:t xml:space="preserve">en matière de développement économique constituent des partenaires de proximité dans les bassins d’emploi. Enfin, les entreprises adaptées comme toutes les entreprises du milieu ordinaire ont accès aux circuits de financement de droit commun et à ce titre peuvent s’appuyer </w:t>
      </w:r>
      <w:r w:rsidR="00CD5EDD">
        <w:rPr>
          <w:bCs/>
        </w:rPr>
        <w:t xml:space="preserve">sur </w:t>
      </w:r>
      <w:r w:rsidR="00A85326">
        <w:rPr>
          <w:bCs/>
        </w:rPr>
        <w:t>des acteurs tels que la Banque publique d’investissement (BPi)</w:t>
      </w:r>
      <w:r w:rsidR="00C82AD0">
        <w:rPr>
          <w:bCs/>
        </w:rPr>
        <w:t xml:space="preserve"> ou</w:t>
      </w:r>
      <w:r w:rsidR="00A85326">
        <w:rPr>
          <w:bCs/>
        </w:rPr>
        <w:t xml:space="preserve"> le réseau France active.</w:t>
      </w:r>
    </w:p>
    <w:p w14:paraId="2753415D" w14:textId="77777777" w:rsidR="005406F4" w:rsidRPr="00A72E2A" w:rsidRDefault="002B45C2" w:rsidP="00422BA0">
      <w:pPr>
        <w:jc w:val="both"/>
        <w:rPr>
          <w:b/>
          <w:bCs/>
        </w:rPr>
      </w:pPr>
      <w:r w:rsidRPr="00A72E2A">
        <w:rPr>
          <w:b/>
          <w:bCs/>
        </w:rPr>
        <w:t xml:space="preserve">Ce </w:t>
      </w:r>
      <w:r w:rsidR="00E87885" w:rsidRPr="00A72E2A">
        <w:rPr>
          <w:b/>
          <w:bCs/>
        </w:rPr>
        <w:t>fonds</w:t>
      </w:r>
      <w:r w:rsidR="00501DBC" w:rsidRPr="00A72E2A">
        <w:rPr>
          <w:b/>
          <w:bCs/>
        </w:rPr>
        <w:t xml:space="preserve"> </w:t>
      </w:r>
      <w:r w:rsidR="00326024" w:rsidRPr="00A72E2A">
        <w:rPr>
          <w:b/>
          <w:bCs/>
        </w:rPr>
        <w:t>a pour objet de concourir</w:t>
      </w:r>
      <w:r w:rsidR="005D1B5A" w:rsidRPr="00A72E2A">
        <w:rPr>
          <w:b/>
          <w:bCs/>
        </w:rPr>
        <w:t>, dans le cadre d’un tour de table de financeurs,</w:t>
      </w:r>
      <w:r w:rsidR="00326024" w:rsidRPr="00A72E2A">
        <w:rPr>
          <w:b/>
          <w:bCs/>
        </w:rPr>
        <w:t xml:space="preserve"> au financement d’aides à l’investissement et d’aides au conseil dans le respect de la réglementation européenne des aides d’Etat</w:t>
      </w:r>
      <w:r w:rsidR="004925C2">
        <w:rPr>
          <w:b/>
          <w:bCs/>
        </w:rPr>
        <w:t xml:space="preserve"> et</w:t>
      </w:r>
      <w:r w:rsidR="00C82AD0">
        <w:rPr>
          <w:b/>
          <w:bCs/>
        </w:rPr>
        <w:t xml:space="preserve"> des règles</w:t>
      </w:r>
      <w:r w:rsidR="004925C2">
        <w:rPr>
          <w:b/>
          <w:bCs/>
        </w:rPr>
        <w:t xml:space="preserve"> nationale</w:t>
      </w:r>
      <w:r w:rsidR="00C82AD0">
        <w:rPr>
          <w:b/>
          <w:bCs/>
        </w:rPr>
        <w:t>s</w:t>
      </w:r>
      <w:r w:rsidR="004925C2">
        <w:rPr>
          <w:rStyle w:val="Appelnotedebasdep"/>
          <w:b/>
          <w:bCs/>
        </w:rPr>
        <w:footnoteReference w:id="2"/>
      </w:r>
      <w:r w:rsidR="00143088">
        <w:rPr>
          <w:b/>
          <w:bCs/>
        </w:rPr>
        <w:t xml:space="preserve"> s</w:t>
      </w:r>
      <w:r w:rsidR="004925C2">
        <w:rPr>
          <w:b/>
          <w:bCs/>
        </w:rPr>
        <w:t xml:space="preserve">’agissant des aides à l’investissement, </w:t>
      </w:r>
    </w:p>
    <w:p w14:paraId="3FFF45BB" w14:textId="77777777" w:rsidR="00187345" w:rsidRDefault="00187345" w:rsidP="00422BA0">
      <w:pPr>
        <w:jc w:val="both"/>
        <w:rPr>
          <w:bCs/>
        </w:rPr>
      </w:pPr>
      <w:r>
        <w:rPr>
          <w:bCs/>
        </w:rPr>
        <w:t>Ces aides sont attribuées par le préfet de région dans le cadre d’une convention conclue avec l’entreprise adaptée</w:t>
      </w:r>
      <w:r w:rsidR="00284A7A">
        <w:rPr>
          <w:bCs/>
        </w:rPr>
        <w:t xml:space="preserve">, </w:t>
      </w:r>
      <w:r w:rsidR="00A85326">
        <w:rPr>
          <w:bCs/>
        </w:rPr>
        <w:t>selon les modalité</w:t>
      </w:r>
      <w:r w:rsidR="003A5286">
        <w:rPr>
          <w:bCs/>
        </w:rPr>
        <w:t>s</w:t>
      </w:r>
      <w:r w:rsidR="00A85326">
        <w:rPr>
          <w:bCs/>
        </w:rPr>
        <w:t xml:space="preserve"> mentionnées au point </w:t>
      </w:r>
      <w:r w:rsidR="00C14BF2">
        <w:rPr>
          <w:bCs/>
        </w:rPr>
        <w:t>IV</w:t>
      </w:r>
      <w:r>
        <w:rPr>
          <w:bCs/>
        </w:rPr>
        <w:t xml:space="preserve">. Elles </w:t>
      </w:r>
      <w:r w:rsidR="002B45C2" w:rsidRPr="002B45C2">
        <w:rPr>
          <w:bCs/>
        </w:rPr>
        <w:t>doi</w:t>
      </w:r>
      <w:r>
        <w:rPr>
          <w:bCs/>
        </w:rPr>
        <w:t>ven</w:t>
      </w:r>
      <w:r w:rsidR="002B45C2" w:rsidRPr="002B45C2">
        <w:rPr>
          <w:bCs/>
        </w:rPr>
        <w:t xml:space="preserve">t permettre d’accompagner </w:t>
      </w:r>
      <w:r w:rsidR="00501DBC">
        <w:rPr>
          <w:bCs/>
        </w:rPr>
        <w:t xml:space="preserve">et de servir de levier pour </w:t>
      </w:r>
      <w:r w:rsidR="002B45C2" w:rsidRPr="002B45C2">
        <w:rPr>
          <w:bCs/>
        </w:rPr>
        <w:t>les mutations</w:t>
      </w:r>
      <w:r w:rsidR="002B45C2">
        <w:rPr>
          <w:bCs/>
        </w:rPr>
        <w:t xml:space="preserve"> </w:t>
      </w:r>
      <w:r w:rsidR="002B45C2" w:rsidRPr="002B45C2">
        <w:rPr>
          <w:bCs/>
        </w:rPr>
        <w:t xml:space="preserve">profondes </w:t>
      </w:r>
      <w:r w:rsidR="00501DBC">
        <w:rPr>
          <w:bCs/>
        </w:rPr>
        <w:t xml:space="preserve">induites </w:t>
      </w:r>
      <w:r w:rsidR="00E87885">
        <w:rPr>
          <w:bCs/>
        </w:rPr>
        <w:t xml:space="preserve">par </w:t>
      </w:r>
      <w:r w:rsidR="00501DBC">
        <w:rPr>
          <w:bCs/>
        </w:rPr>
        <w:t>la modernisation</w:t>
      </w:r>
      <w:r w:rsidR="00E87885">
        <w:rPr>
          <w:bCs/>
        </w:rPr>
        <w:t xml:space="preserve"> du cadre d’intervention des entreprises adaptées</w:t>
      </w:r>
      <w:r w:rsidR="002B45C2" w:rsidRPr="002B45C2">
        <w:rPr>
          <w:bCs/>
        </w:rPr>
        <w:t xml:space="preserve">. </w:t>
      </w:r>
      <w:r w:rsidR="00326024">
        <w:rPr>
          <w:bCs/>
        </w:rPr>
        <w:t xml:space="preserve"> </w:t>
      </w:r>
    </w:p>
    <w:p w14:paraId="3F22F292" w14:textId="77777777" w:rsidR="005406F4" w:rsidRDefault="00311933" w:rsidP="00524FD8">
      <w:pPr>
        <w:pStyle w:val="Paragraphedeliste"/>
        <w:numPr>
          <w:ilvl w:val="0"/>
          <w:numId w:val="11"/>
        </w:numPr>
        <w:spacing w:after="200" w:line="276" w:lineRule="auto"/>
        <w:rPr>
          <w:rFonts w:ascii="Arial" w:hAnsi="Arial" w:cs="Arial"/>
          <w:b/>
          <w:color w:val="0070C0"/>
        </w:rPr>
      </w:pPr>
      <w:r w:rsidRPr="00524FD8">
        <w:rPr>
          <w:rFonts w:ascii="Arial" w:hAnsi="Arial" w:cs="Arial"/>
          <w:b/>
          <w:color w:val="0070C0"/>
        </w:rPr>
        <w:t>Les aides susceptibles d’être attribuées dans le cadre du fonds</w:t>
      </w:r>
    </w:p>
    <w:p w14:paraId="3AC0AA80" w14:textId="0D5518E0" w:rsidR="00311933" w:rsidRPr="00086567" w:rsidRDefault="003265B7" w:rsidP="003A2401">
      <w:pPr>
        <w:jc w:val="both"/>
        <w:rPr>
          <w:bCs/>
        </w:rPr>
      </w:pPr>
      <w:r>
        <w:rPr>
          <w:bCs/>
        </w:rPr>
        <w:t>Sont exclus de ce dispositif l’</w:t>
      </w:r>
      <w:r w:rsidR="00311933">
        <w:rPr>
          <w:bCs/>
        </w:rPr>
        <w:t>aide à la consolidation de structure</w:t>
      </w:r>
      <w:r>
        <w:rPr>
          <w:bCs/>
        </w:rPr>
        <w:t>s</w:t>
      </w:r>
      <w:r w:rsidR="00311933">
        <w:rPr>
          <w:bCs/>
        </w:rPr>
        <w:t xml:space="preserve"> en difficultés économique</w:t>
      </w:r>
      <w:r>
        <w:rPr>
          <w:bCs/>
        </w:rPr>
        <w:t>s</w:t>
      </w:r>
      <w:r w:rsidR="00CD3F00">
        <w:rPr>
          <w:bCs/>
        </w:rPr>
        <w:t xml:space="preserve"> au sens européen du terme</w:t>
      </w:r>
      <w:r w:rsidR="00CD3F00">
        <w:rPr>
          <w:rStyle w:val="Appelnotedebasdep"/>
          <w:bCs/>
        </w:rPr>
        <w:footnoteReference w:id="3"/>
      </w:r>
      <w:r w:rsidR="00942BA9">
        <w:rPr>
          <w:bCs/>
        </w:rPr>
        <w:t>.</w:t>
      </w:r>
      <w:r w:rsidR="004925C2">
        <w:rPr>
          <w:bCs/>
        </w:rPr>
        <w:t xml:space="preserve"> </w:t>
      </w:r>
    </w:p>
    <w:p w14:paraId="71D19A94" w14:textId="43127B95" w:rsidR="00376432" w:rsidRPr="00057A9F" w:rsidRDefault="00376432" w:rsidP="00057A9F">
      <w:pPr>
        <w:jc w:val="both"/>
        <w:rPr>
          <w:rFonts w:ascii="Arial" w:hAnsi="Arial" w:cs="Arial"/>
          <w:b/>
        </w:rPr>
      </w:pPr>
      <w:r w:rsidRPr="00057A9F">
        <w:rPr>
          <w:rFonts w:ascii="Arial" w:hAnsi="Arial" w:cs="Arial"/>
          <w:b/>
        </w:rPr>
        <w:t>2.1 Aides destinées à compenser les surcoûts liés à l’emploi de travailleurs handicapés</w:t>
      </w:r>
    </w:p>
    <w:p w14:paraId="112408E5" w14:textId="7BA3F0A2" w:rsidR="00376432" w:rsidRDefault="004B59F1" w:rsidP="00376432">
      <w:pPr>
        <w:pStyle w:val="Paragraphedeliste"/>
        <w:ind w:left="0"/>
        <w:jc w:val="both"/>
        <w:rPr>
          <w:b/>
          <w:bCs/>
        </w:rPr>
      </w:pPr>
      <w:r w:rsidRPr="0023697D">
        <w:rPr>
          <w:bCs/>
        </w:rPr>
        <w:t>Les subventions relatives à des projets d’investissement peuvent être consacrées à l’équipement matériel à l’exclusion du simple renouvellement</w:t>
      </w:r>
      <w:r w:rsidR="00901B41" w:rsidRPr="0023697D">
        <w:rPr>
          <w:bCs/>
          <w:vertAlign w:val="superscript"/>
        </w:rPr>
        <w:t>2</w:t>
      </w:r>
      <w:r w:rsidRPr="0023697D">
        <w:rPr>
          <w:bCs/>
        </w:rPr>
        <w:t>.</w:t>
      </w:r>
    </w:p>
    <w:p w14:paraId="2E75E6AD" w14:textId="197D8967" w:rsidR="00376432" w:rsidRDefault="004B59F1" w:rsidP="00376432">
      <w:pPr>
        <w:pStyle w:val="Paragraphedeliste"/>
        <w:ind w:left="0"/>
        <w:jc w:val="both"/>
        <w:rPr>
          <w:b/>
          <w:bCs/>
        </w:rPr>
      </w:pPr>
      <w:r>
        <w:rPr>
          <w:b/>
          <w:bCs/>
        </w:rPr>
        <w:t xml:space="preserve">Au sein de cette catégorie </w:t>
      </w:r>
      <w:r w:rsidR="00376432">
        <w:rPr>
          <w:b/>
          <w:bCs/>
        </w:rPr>
        <w:t xml:space="preserve"> </w:t>
      </w:r>
      <w:r>
        <w:rPr>
          <w:b/>
          <w:bCs/>
        </w:rPr>
        <w:t xml:space="preserve"> sont distingués deux types d’aides</w:t>
      </w:r>
      <w:r w:rsidR="00376432">
        <w:rPr>
          <w:b/>
          <w:bCs/>
        </w:rPr>
        <w:t xml:space="preserve">: </w:t>
      </w:r>
    </w:p>
    <w:p w14:paraId="54B986E2" w14:textId="616D595B" w:rsidR="00376432" w:rsidRPr="00057A9F" w:rsidRDefault="00376432" w:rsidP="00057A9F">
      <w:pPr>
        <w:jc w:val="both"/>
        <w:rPr>
          <w:b/>
          <w:bCs/>
        </w:rPr>
      </w:pPr>
      <w:r>
        <w:rPr>
          <w:b/>
          <w:bCs/>
        </w:rPr>
        <w:t xml:space="preserve">2.1.1. </w:t>
      </w:r>
      <w:r w:rsidRPr="00057A9F">
        <w:rPr>
          <w:b/>
          <w:bCs/>
        </w:rPr>
        <w:t>Les aides destinées à poursuivre l’effort d’investissement engagé avant le 1</w:t>
      </w:r>
      <w:r w:rsidRPr="00721153">
        <w:rPr>
          <w:b/>
          <w:bCs/>
          <w:vertAlign w:val="superscript"/>
        </w:rPr>
        <w:t>er</w:t>
      </w:r>
      <w:r w:rsidRPr="00057A9F">
        <w:rPr>
          <w:b/>
          <w:bCs/>
        </w:rPr>
        <w:t xml:space="preserve"> janvier 2019, sur une période transitoire 2019-2021.</w:t>
      </w:r>
    </w:p>
    <w:p w14:paraId="6C7862CB" w14:textId="77777777" w:rsidR="00376432" w:rsidRPr="00462589" w:rsidRDefault="00376432" w:rsidP="00376432">
      <w:pPr>
        <w:jc w:val="both"/>
        <w:rPr>
          <w:b/>
        </w:rPr>
      </w:pPr>
      <w:r>
        <w:t>Ces aides s’inscrivent dans u</w:t>
      </w:r>
      <w:r w:rsidRPr="00A72E2A">
        <w:t>ne phase de transition 2019-202</w:t>
      </w:r>
      <w:r>
        <w:t>1</w:t>
      </w:r>
      <w:r w:rsidRPr="00A72E2A">
        <w:t xml:space="preserve"> permettant d’accompagner les investissements engagés avant le 1</w:t>
      </w:r>
      <w:r w:rsidRPr="00462589">
        <w:rPr>
          <w:vertAlign w:val="superscript"/>
        </w:rPr>
        <w:t>er</w:t>
      </w:r>
      <w:r w:rsidRPr="00A72E2A">
        <w:t xml:space="preserve"> janvier 2019. Il sera alors possible de poursuivre le financement des investissements programmés</w:t>
      </w:r>
      <w:r>
        <w:t xml:space="preserve"> et</w:t>
      </w:r>
      <w:r w:rsidRPr="00A72E2A">
        <w:t xml:space="preserve"> discutés avec la Direccte</w:t>
      </w:r>
      <w:r>
        <w:t xml:space="preserve">. Ce mécanisme sécurise les actions initiées avant la suppression des modalités antérieures de soutien aux investissement des entreprises adaptées Les modalités de définition de l’intensité de l’aide reposent sur des règles de calcul aménagées (cf. infra 3.2) et pour des dépenses principalement orientées vers </w:t>
      </w:r>
      <w:r w:rsidRPr="00A72E2A">
        <w:t>:</w:t>
      </w:r>
      <w:r>
        <w:t xml:space="preserve"> l</w:t>
      </w:r>
      <w:r w:rsidRPr="00A72E2A">
        <w:t>’adaptation des locaux</w:t>
      </w:r>
      <w:r>
        <w:t>, l</w:t>
      </w:r>
      <w:r w:rsidRPr="00A72E2A">
        <w:t xml:space="preserve">’adaptation des équipements existants, l'acquisition de nouveaux équipements ou </w:t>
      </w:r>
      <w:r>
        <w:t xml:space="preserve">encore </w:t>
      </w:r>
      <w:r w:rsidRPr="00A72E2A">
        <w:t>l'acquisition et la validation de logiciels destinés à être utilisés par les travailleurs handicapés, notamment des outils technologiques adaptés ou d'assistance</w:t>
      </w:r>
      <w:r>
        <w:t>.</w:t>
      </w:r>
      <w:r w:rsidRPr="00462589">
        <w:rPr>
          <w:b/>
        </w:rPr>
        <w:t xml:space="preserve"> </w:t>
      </w:r>
    </w:p>
    <w:p w14:paraId="6172E5A7" w14:textId="77777777" w:rsidR="00376432" w:rsidRDefault="00376432" w:rsidP="00376432">
      <w:pPr>
        <w:pStyle w:val="Paragraphedeliste"/>
        <w:ind w:left="0"/>
        <w:jc w:val="both"/>
        <w:rPr>
          <w:rFonts w:ascii="Arial" w:hAnsi="Arial" w:cs="Arial"/>
          <w:b/>
        </w:rPr>
      </w:pPr>
    </w:p>
    <w:p w14:paraId="0FE124B1" w14:textId="76809D5F" w:rsidR="00376432" w:rsidRDefault="00376432" w:rsidP="00376432">
      <w:pPr>
        <w:pStyle w:val="Paragraphedeliste"/>
        <w:ind w:left="0" w:firstLine="708"/>
        <w:jc w:val="both"/>
        <w:rPr>
          <w:b/>
          <w:bCs/>
        </w:rPr>
      </w:pPr>
      <w:r w:rsidRPr="003D249C">
        <w:rPr>
          <w:b/>
          <w:bCs/>
        </w:rPr>
        <w:t>2.</w:t>
      </w:r>
      <w:r>
        <w:rPr>
          <w:b/>
          <w:bCs/>
        </w:rPr>
        <w:t>1</w:t>
      </w:r>
      <w:r w:rsidRPr="003D249C">
        <w:rPr>
          <w:b/>
          <w:bCs/>
        </w:rPr>
        <w:t>.2.</w:t>
      </w:r>
      <w:r w:rsidRPr="00000174">
        <w:rPr>
          <w:b/>
          <w:bCs/>
        </w:rPr>
        <w:t xml:space="preserve"> Les aides destinées</w:t>
      </w:r>
      <w:r>
        <w:rPr>
          <w:b/>
          <w:bCs/>
        </w:rPr>
        <w:t xml:space="preserve"> </w:t>
      </w:r>
      <w:r w:rsidR="004B59F1" w:rsidRPr="004B59F1">
        <w:rPr>
          <w:b/>
          <w:bCs/>
        </w:rPr>
        <w:t>à engager l’accompagnement de la modernisation des EA à compter du 1</w:t>
      </w:r>
      <w:r w:rsidR="004B59F1" w:rsidRPr="004B59F1">
        <w:rPr>
          <w:b/>
          <w:bCs/>
          <w:vertAlign w:val="superscript"/>
        </w:rPr>
        <w:t>er</w:t>
      </w:r>
      <w:r w:rsidR="004B59F1" w:rsidRPr="004B59F1">
        <w:rPr>
          <w:b/>
          <w:bCs/>
        </w:rPr>
        <w:t xml:space="preserve"> janvier 2019</w:t>
      </w:r>
      <w:r w:rsidR="004B59F1">
        <w:rPr>
          <w:b/>
          <w:bCs/>
        </w:rPr>
        <w:t>.</w:t>
      </w:r>
    </w:p>
    <w:p w14:paraId="4B4958CA" w14:textId="1E161473" w:rsidR="00376432" w:rsidRDefault="00376432" w:rsidP="00376432">
      <w:pPr>
        <w:jc w:val="both"/>
      </w:pPr>
      <w:r>
        <w:t xml:space="preserve">Le </w:t>
      </w:r>
      <w:r w:rsidRPr="00A72E2A">
        <w:t>changement de</w:t>
      </w:r>
      <w:r>
        <w:t>s</w:t>
      </w:r>
      <w:r w:rsidRPr="00A72E2A">
        <w:t xml:space="preserve"> modalité</w:t>
      </w:r>
      <w:r>
        <w:t>s</w:t>
      </w:r>
      <w:r w:rsidRPr="00A72E2A">
        <w:t xml:space="preserve"> de financement des entreprises adaptées,</w:t>
      </w:r>
      <w:r>
        <w:t xml:space="preserve"> appelle à installer le soutien de l’investissement des EA dans une démarche de projets plus lisible et d’accompagnement de la modernisation de la stratégie des entreprises adaptées. Il implique d’inscrire ces dépenses au service de diversification des productions et d’accompagnement des changements des processus de production. </w:t>
      </w:r>
      <w:r w:rsidR="00562F94">
        <w:t xml:space="preserve">L’un des objectifs demeure également de prémunir les EA contre la dépendance économique </w:t>
      </w:r>
      <w:r w:rsidR="004421F0">
        <w:t>auprès d’un</w:t>
      </w:r>
      <w:r w:rsidR="00562F94">
        <w:t xml:space="preserve"> même client</w:t>
      </w:r>
      <w:r w:rsidR="004421F0">
        <w:t xml:space="preserve"> ou groupe de client</w:t>
      </w:r>
      <w:r w:rsidR="00562F94">
        <w:t>.</w:t>
      </w:r>
    </w:p>
    <w:p w14:paraId="4C9C699C" w14:textId="77777777" w:rsidR="00376432" w:rsidRPr="00405B09" w:rsidRDefault="00376432" w:rsidP="00057A9F">
      <w:pPr>
        <w:jc w:val="both"/>
        <w:rPr>
          <w:rFonts w:ascii="Arial" w:hAnsi="Arial" w:cs="Arial"/>
          <w:b/>
        </w:rPr>
      </w:pPr>
      <w:r w:rsidRPr="00057A9F">
        <w:rPr>
          <w:rFonts w:ascii="Arial" w:hAnsi="Arial" w:cs="Arial"/>
          <w:b/>
        </w:rPr>
        <w:t>2.2. Aides aux services de conseil en faveur des PME</w:t>
      </w:r>
    </w:p>
    <w:p w14:paraId="278C5DB7" w14:textId="77777777" w:rsidR="00376432" w:rsidRDefault="00376432" w:rsidP="00376432">
      <w:pPr>
        <w:jc w:val="both"/>
      </w:pPr>
      <w:r>
        <w:t>Outre le recours à l’appui des dispositifs locaux d’accompagnement (DLA) ouvert à certains types de structures</w:t>
      </w:r>
      <w:r>
        <w:rPr>
          <w:rStyle w:val="Appelnotedebasdep"/>
        </w:rPr>
        <w:footnoteReference w:id="4"/>
      </w:r>
      <w:r>
        <w:t>, l</w:t>
      </w:r>
      <w:r w:rsidRPr="008819BD">
        <w:t>es PME, au sens de l'annexe II</w:t>
      </w:r>
      <w:r>
        <w:t xml:space="preserve"> du RGEC (cf. infra § 4) </w:t>
      </w:r>
      <w:r w:rsidRPr="008819BD">
        <w:t>peuvent recevoir une aide pour financer les services de conseil extérieurs.</w:t>
      </w:r>
      <w:r>
        <w:t xml:space="preserve"> </w:t>
      </w:r>
    </w:p>
    <w:p w14:paraId="4EF3F95D" w14:textId="77777777" w:rsidR="00376432" w:rsidRDefault="00376432" w:rsidP="00376432">
      <w:pPr>
        <w:jc w:val="both"/>
      </w:pPr>
      <w:r w:rsidRPr="008819BD">
        <w:t>Les coûts admissibles sont les coûts des services de conseil fournis par des conseillers extérieurs. Les</w:t>
      </w:r>
      <w:r>
        <w:t xml:space="preserve"> </w:t>
      </w:r>
      <w:r w:rsidRPr="008819BD">
        <w:t>services de conseil ne doivent pas constituer une activité permanente ou périodique et doivent être sans</w:t>
      </w:r>
      <w:r>
        <w:t xml:space="preserve"> </w:t>
      </w:r>
      <w:r w:rsidRPr="008819BD">
        <w:t>rapport avec les dépenses de fonctionnement normales de l'entreprise, telles que les services réguliers</w:t>
      </w:r>
      <w:r>
        <w:t xml:space="preserve"> </w:t>
      </w:r>
      <w:r w:rsidRPr="008819BD">
        <w:t>de conseil fiscal ou juridique, ou la publicité.</w:t>
      </w:r>
    </w:p>
    <w:p w14:paraId="00B2545C" w14:textId="77777777" w:rsidR="00376432" w:rsidRPr="002B45C2" w:rsidRDefault="00376432" w:rsidP="00376432">
      <w:pPr>
        <w:jc w:val="both"/>
      </w:pPr>
      <w:r>
        <w:t>Il s’agit de répondre au</w:t>
      </w:r>
      <w:r w:rsidRPr="002B45C2">
        <w:t xml:space="preserve"> besoin d'une</w:t>
      </w:r>
      <w:r>
        <w:t xml:space="preserve"> </w:t>
      </w:r>
      <w:r w:rsidRPr="002B45C2">
        <w:t>expertise dans différents domaines (développement commercial, organisation de la production,</w:t>
      </w:r>
      <w:r>
        <w:t xml:space="preserve"> </w:t>
      </w:r>
      <w:r w:rsidRPr="002B45C2">
        <w:t>techniques de production, gestion financière</w:t>
      </w:r>
      <w:r>
        <w:t>, politique RH, transformation numérique de l’entreprise</w:t>
      </w:r>
      <w:r w:rsidRPr="002B45C2">
        <w:t>) pour mettre en place des instruments de gestion propres</w:t>
      </w:r>
      <w:r>
        <w:t xml:space="preserve"> </w:t>
      </w:r>
      <w:r w:rsidRPr="002B45C2">
        <w:t>à accompagner leur développement économique et social</w:t>
      </w:r>
      <w:r>
        <w:t xml:space="preserve">, ou encore l’adaptation au nouveau cadre de la réforme. </w:t>
      </w:r>
    </w:p>
    <w:p w14:paraId="545AEC4B" w14:textId="5032B613" w:rsidR="00376432" w:rsidRPr="002B45C2" w:rsidRDefault="00376432" w:rsidP="00376432">
      <w:pPr>
        <w:jc w:val="both"/>
      </w:pPr>
      <w:r>
        <w:t>L</w:t>
      </w:r>
      <w:r w:rsidRPr="002B45C2">
        <w:t xml:space="preserve">es aides spécifiques aux entreprises adaptées prévues </w:t>
      </w:r>
      <w:r w:rsidR="004421F0">
        <w:t>poursuivent les</w:t>
      </w:r>
      <w:r w:rsidRPr="002B45C2">
        <w:t xml:space="preserve"> objectifs </w:t>
      </w:r>
      <w:r w:rsidR="004421F0">
        <w:t>suivants</w:t>
      </w:r>
      <w:r w:rsidRPr="002B45C2">
        <w:t xml:space="preserve"> :</w:t>
      </w:r>
    </w:p>
    <w:p w14:paraId="3F27CCCB" w14:textId="733E1CAB" w:rsidR="00376432" w:rsidRPr="00430456" w:rsidRDefault="00376432" w:rsidP="00376432">
      <w:pPr>
        <w:ind w:left="360"/>
        <w:jc w:val="both"/>
      </w:pPr>
      <w:r w:rsidRPr="002B45C2">
        <w:t xml:space="preserve">- </w:t>
      </w:r>
      <w:r w:rsidRPr="00A72E2A">
        <w:rPr>
          <w:b/>
        </w:rPr>
        <w:t>permettre aux entreprises adaptées existantes de développer ou diversifier leurs activités</w:t>
      </w:r>
      <w:r w:rsidRPr="003C6DD3">
        <w:t xml:space="preserve"> en les aidant</w:t>
      </w:r>
      <w:r w:rsidRPr="00430456">
        <w:t xml:space="preserve"> à financer une étude de faisabilité de leur projet</w:t>
      </w:r>
      <w:r w:rsidR="00F16734">
        <w:t xml:space="preserve">, des dépenses </w:t>
      </w:r>
      <w:r w:rsidR="00CC4769">
        <w:t xml:space="preserve">développement </w:t>
      </w:r>
      <w:r w:rsidR="00CC4769" w:rsidRPr="00430456">
        <w:t>;</w:t>
      </w:r>
    </w:p>
    <w:p w14:paraId="74E85AFD" w14:textId="77777777" w:rsidR="00376432" w:rsidRPr="00430456" w:rsidRDefault="00376432" w:rsidP="00376432">
      <w:pPr>
        <w:ind w:left="360"/>
        <w:jc w:val="both"/>
      </w:pPr>
      <w:r w:rsidRPr="00430456">
        <w:t xml:space="preserve">- </w:t>
      </w:r>
      <w:r w:rsidRPr="00A72E2A">
        <w:rPr>
          <w:b/>
        </w:rPr>
        <w:t>apporter une aide aux entreprises adaptées qui veulent développer la gestion des ressources humaines</w:t>
      </w:r>
      <w:r w:rsidRPr="003C6DD3">
        <w:t xml:space="preserve"> (élaboration de plans de formation, gestion prévisionnelle des emplois et des compétences</w:t>
      </w:r>
      <w:r w:rsidRPr="00430456">
        <w:t xml:space="preserve"> (GPEC), la mise en place d’un outil numérique</w:t>
      </w:r>
      <w:r>
        <w:t xml:space="preserve"> structurant la démarche de GPEC</w:t>
      </w:r>
      <w:r w:rsidRPr="00430456">
        <w:t>).</w:t>
      </w:r>
    </w:p>
    <w:p w14:paraId="10F7948C" w14:textId="77777777" w:rsidR="00376432" w:rsidRPr="00430456" w:rsidRDefault="00376432" w:rsidP="00376432">
      <w:pPr>
        <w:ind w:left="360"/>
        <w:jc w:val="both"/>
      </w:pPr>
      <w:r w:rsidRPr="00430456">
        <w:t xml:space="preserve">- </w:t>
      </w:r>
      <w:r>
        <w:t>financer, l</w:t>
      </w:r>
      <w:r w:rsidRPr="00430456">
        <w:t>orsque les crédits disponibles le permettent</w:t>
      </w:r>
      <w:r>
        <w:t xml:space="preserve">, </w:t>
      </w:r>
      <w:r w:rsidRPr="003C6DD3">
        <w:t xml:space="preserve">à titre exceptionnel et </w:t>
      </w:r>
      <w:r>
        <w:t>pour une durée limitée,</w:t>
      </w:r>
      <w:r w:rsidRPr="00430456">
        <w:t xml:space="preserve"> </w:t>
      </w:r>
      <w:r w:rsidRPr="00A72E2A">
        <w:t>des actions de professionnalisation</w:t>
      </w:r>
      <w:r>
        <w:t xml:space="preserve"> </w:t>
      </w:r>
      <w:r w:rsidRPr="00A72E2A">
        <w:t>des salariés de l’entreprise adaptée vers de nouveaux processus de productions</w:t>
      </w:r>
      <w:r>
        <w:t xml:space="preserve"> </w:t>
      </w:r>
      <w:r w:rsidRPr="00A72E2A">
        <w:t>ou de nouvelles modalités organisationnelles.</w:t>
      </w:r>
      <w:r w:rsidRPr="003C6DD3">
        <w:t xml:space="preserve"> Par exemple </w:t>
      </w:r>
      <w:r>
        <w:t xml:space="preserve">peuvent être financées la formation à </w:t>
      </w:r>
      <w:r w:rsidRPr="003C6DD3">
        <w:t>la médiation active</w:t>
      </w:r>
      <w:r>
        <w:t>, la formation à l’ADVP (</w:t>
      </w:r>
      <w:r w:rsidRPr="003343E7">
        <w:t>Activation du Développement Vocationnel et Personnel</w:t>
      </w:r>
      <w:r>
        <w:t xml:space="preserve">) ou encore </w:t>
      </w:r>
      <w:r w:rsidRPr="008F65E2">
        <w:t>l’acquisition de compétences, notamment managériales</w:t>
      </w:r>
      <w:r>
        <w:t xml:space="preserve"> et gestion financière, sauf si ces actions sont prises en charge budgétairement au niveau national</w:t>
      </w:r>
      <w:r w:rsidRPr="003C6DD3">
        <w:t>.</w:t>
      </w:r>
    </w:p>
    <w:p w14:paraId="050A836C" w14:textId="42D2D158" w:rsidR="00376432" w:rsidRDefault="00376432" w:rsidP="00376432">
      <w:pPr>
        <w:jc w:val="both"/>
      </w:pPr>
      <w:r w:rsidRPr="003C6DD3">
        <w:t>Il convient d'apprécier de façon large les critères afin de fa</w:t>
      </w:r>
      <w:r>
        <w:t>cilit</w:t>
      </w:r>
      <w:r w:rsidRPr="003C6DD3">
        <w:t>er</w:t>
      </w:r>
      <w:r>
        <w:t xml:space="preserve"> l’accès</w:t>
      </w:r>
      <w:r w:rsidRPr="003C6DD3">
        <w:t>, dans tous les domaines de l'entreprise</w:t>
      </w:r>
      <w:r>
        <w:t>,</w:t>
      </w:r>
      <w:r w:rsidRPr="003C6DD3">
        <w:t xml:space="preserve"> </w:t>
      </w:r>
      <w:r>
        <w:t xml:space="preserve">à </w:t>
      </w:r>
      <w:r w:rsidRPr="003C6DD3">
        <w:t xml:space="preserve">l'aide au conseil </w:t>
      </w:r>
      <w:r>
        <w:t>favorisant</w:t>
      </w:r>
      <w:r w:rsidRPr="003C6DD3">
        <w:t xml:space="preserve"> </w:t>
      </w:r>
      <w:r>
        <w:t xml:space="preserve">un </w:t>
      </w:r>
      <w:r w:rsidRPr="003C6DD3">
        <w:t>accompagnement à la transformation des organisations pour</w:t>
      </w:r>
      <w:r>
        <w:t xml:space="preserve"> permettre</w:t>
      </w:r>
      <w:r w:rsidRPr="003C6DD3">
        <w:t xml:space="preserve"> </w:t>
      </w:r>
      <w:r>
        <w:rPr>
          <w:i/>
        </w:rPr>
        <w:t xml:space="preserve">in fine </w:t>
      </w:r>
      <w:r>
        <w:t xml:space="preserve">de </w:t>
      </w:r>
      <w:r w:rsidRPr="003C6DD3">
        <w:t xml:space="preserve">relever le défi de la réforme. </w:t>
      </w:r>
    </w:p>
    <w:p w14:paraId="59BD4E6E" w14:textId="71B062CC" w:rsidR="00376432" w:rsidRPr="003C6DD3" w:rsidRDefault="00376432" w:rsidP="00376432">
      <w:pPr>
        <w:jc w:val="both"/>
      </w:pPr>
      <w:r w:rsidRPr="003C6DD3">
        <w:t xml:space="preserve">L'entreprise adaptée </w:t>
      </w:r>
      <w:r w:rsidR="004421F0">
        <w:t>règle la prestation</w:t>
      </w:r>
      <w:r w:rsidRPr="003C6DD3">
        <w:t xml:space="preserve"> directement</w:t>
      </w:r>
      <w:r w:rsidR="004421F0">
        <w:t xml:space="preserve"> à</w:t>
      </w:r>
      <w:r w:rsidRPr="003C6DD3">
        <w:t xml:space="preserve"> l'expert</w:t>
      </w:r>
      <w:r>
        <w:t>,</w:t>
      </w:r>
      <w:r w:rsidRPr="003C6DD3">
        <w:t xml:space="preserve"> qui doit avoir une compétence reconnue</w:t>
      </w:r>
      <w:r>
        <w:t>,</w:t>
      </w:r>
      <w:r w:rsidRPr="003C6DD3">
        <w:t xml:space="preserve"> et perçoit en remboursement la participation financière de l'Etat. La Direccte est destinataire du rapport d'expertise</w:t>
      </w:r>
      <w:r>
        <w:t xml:space="preserve"> et des pièces justificatives des dépenses engagées.</w:t>
      </w:r>
    </w:p>
    <w:p w14:paraId="4E76AB80" w14:textId="47840C00" w:rsidR="00376432" w:rsidRPr="003C6DD3" w:rsidRDefault="00376432" w:rsidP="00376432">
      <w:pPr>
        <w:jc w:val="both"/>
        <w:rPr>
          <w:b/>
          <w:bCs/>
        </w:rPr>
      </w:pPr>
      <w:r w:rsidRPr="003C6DD3">
        <w:t xml:space="preserve">L'aide </w:t>
      </w:r>
      <w:r>
        <w:t xml:space="preserve">publique </w:t>
      </w:r>
      <w:r w:rsidRPr="003C6DD3">
        <w:t>maximale apportée à l'entreprise adaptée dans ce cadre ne peut pas excéder 50 % des coûts admissibles</w:t>
      </w:r>
      <w:r>
        <w:t xml:space="preserve"> (Cf. point III). </w:t>
      </w:r>
      <w:r w:rsidRPr="00A72E2A">
        <w:rPr>
          <w:b/>
        </w:rPr>
        <w:t>La part</w:t>
      </w:r>
      <w:r>
        <w:rPr>
          <w:b/>
        </w:rPr>
        <w:t>icipation</w:t>
      </w:r>
      <w:r w:rsidRPr="00A72E2A">
        <w:rPr>
          <w:b/>
        </w:rPr>
        <w:t xml:space="preserve"> de l’Etat est plafonnée à 25 000€ TTC maximum</w:t>
      </w:r>
      <w:r>
        <w:t>.</w:t>
      </w:r>
      <w:r w:rsidRPr="003C6DD3">
        <w:t xml:space="preserve"> Par conséquent, le montage de ces projets implique que l’entreprise recherche des financements privés complémentaires (autofinancement, fondation par exemple)</w:t>
      </w:r>
      <w:r w:rsidR="004421F0">
        <w:t xml:space="preserve"> et/ou publics</w:t>
      </w:r>
      <w:r w:rsidRPr="003C6DD3">
        <w:t>. Le niveau de participation financière de l'Etat est négocié</w:t>
      </w:r>
      <w:r>
        <w:t xml:space="preserve">, </w:t>
      </w:r>
      <w:r w:rsidRPr="003C6DD3">
        <w:t>dans le cadre de l’enveloppe annuelle du fonds</w:t>
      </w:r>
      <w:r>
        <w:t xml:space="preserve">, </w:t>
      </w:r>
      <w:r w:rsidRPr="003C6DD3">
        <w:t>au cas par cas en fonction du type d'intervention, de l'intérêt du projet, du niveau de participation de l’entreprise adaptée et de sa situation économique</w:t>
      </w:r>
      <w:r w:rsidRPr="003C6DD3">
        <w:rPr>
          <w:b/>
          <w:bCs/>
        </w:rPr>
        <w:t xml:space="preserve">. </w:t>
      </w:r>
    </w:p>
    <w:p w14:paraId="7478F3A7" w14:textId="77777777" w:rsidR="00376432" w:rsidRPr="008226D9" w:rsidRDefault="00376432" w:rsidP="00376432">
      <w:pPr>
        <w:pBdr>
          <w:top w:val="single" w:sz="4" w:space="1" w:color="auto"/>
          <w:left w:val="single" w:sz="4" w:space="4" w:color="auto"/>
          <w:bottom w:val="single" w:sz="4" w:space="1" w:color="auto"/>
          <w:right w:val="single" w:sz="4" w:space="4" w:color="auto"/>
        </w:pBdr>
        <w:jc w:val="both"/>
        <w:rPr>
          <w:b/>
          <w:bCs/>
        </w:rPr>
      </w:pPr>
      <w:r w:rsidRPr="008226D9">
        <w:rPr>
          <w:b/>
          <w:bCs/>
        </w:rPr>
        <w:t xml:space="preserve">Les financements 2019-2020 seront mobilisés en priorité pour faciliter : </w:t>
      </w:r>
    </w:p>
    <w:p w14:paraId="5F284FBE" w14:textId="77777777" w:rsidR="00376432" w:rsidRPr="008226D9" w:rsidRDefault="00376432" w:rsidP="00376432">
      <w:pPr>
        <w:pBdr>
          <w:top w:val="single" w:sz="4" w:space="1" w:color="auto"/>
          <w:left w:val="single" w:sz="4" w:space="4" w:color="auto"/>
          <w:bottom w:val="single" w:sz="4" w:space="1" w:color="auto"/>
          <w:right w:val="single" w:sz="4" w:space="4" w:color="auto"/>
        </w:pBdr>
        <w:jc w:val="both"/>
        <w:rPr>
          <w:b/>
        </w:rPr>
      </w:pPr>
      <w:r w:rsidRPr="008226D9">
        <w:rPr>
          <w:b/>
        </w:rPr>
        <w:t xml:space="preserve">1-La mise en place d’outils et/ou de processus dans les domaines tels que : </w:t>
      </w:r>
    </w:p>
    <w:p w14:paraId="28881274" w14:textId="77777777" w:rsidR="00376432" w:rsidRPr="008226D9" w:rsidRDefault="00376432" w:rsidP="00376432">
      <w:pPr>
        <w:pBdr>
          <w:top w:val="single" w:sz="4" w:space="1" w:color="auto"/>
          <w:left w:val="single" w:sz="4" w:space="4" w:color="auto"/>
          <w:bottom w:val="single" w:sz="4" w:space="1" w:color="auto"/>
          <w:right w:val="single" w:sz="4" w:space="4" w:color="auto"/>
        </w:pBdr>
        <w:jc w:val="both"/>
      </w:pPr>
      <w:r w:rsidRPr="008226D9">
        <w:t>- l’entretien professionnel et d’évaluation (consacré aux perspectives d'évolution professionnelle, notamment en termes de qualifications et d'emploi)</w:t>
      </w:r>
      <w:r>
        <w:t> ;</w:t>
      </w:r>
    </w:p>
    <w:p w14:paraId="0738AB3C" w14:textId="77777777" w:rsidR="00376432" w:rsidRPr="008226D9" w:rsidRDefault="00376432" w:rsidP="00376432">
      <w:pPr>
        <w:pBdr>
          <w:top w:val="single" w:sz="4" w:space="1" w:color="auto"/>
          <w:left w:val="single" w:sz="4" w:space="4" w:color="auto"/>
          <w:bottom w:val="single" w:sz="4" w:space="1" w:color="auto"/>
          <w:right w:val="single" w:sz="4" w:space="4" w:color="auto"/>
        </w:pBdr>
        <w:jc w:val="both"/>
      </w:pPr>
      <w:r w:rsidRPr="008226D9">
        <w:t>-l’élaboration de référentiels des métiers et des compétences (description de fonction</w:t>
      </w:r>
      <w:r>
        <w:t>s</w:t>
      </w:r>
      <w:r w:rsidRPr="008226D9">
        <w:t>, de poste</w:t>
      </w:r>
      <w:r>
        <w:t>s</w:t>
      </w:r>
      <w:r w:rsidRPr="008226D9">
        <w:t xml:space="preserve"> de l’entreprise)</w:t>
      </w:r>
      <w:r>
        <w:t> ;</w:t>
      </w:r>
    </w:p>
    <w:p w14:paraId="240DCE07" w14:textId="77777777" w:rsidR="00376432" w:rsidRPr="008226D9" w:rsidRDefault="00376432" w:rsidP="00376432">
      <w:pPr>
        <w:pBdr>
          <w:top w:val="single" w:sz="4" w:space="1" w:color="auto"/>
          <w:left w:val="single" w:sz="4" w:space="4" w:color="auto"/>
          <w:bottom w:val="single" w:sz="4" w:space="1" w:color="auto"/>
          <w:right w:val="single" w:sz="4" w:space="4" w:color="auto"/>
        </w:pBdr>
        <w:jc w:val="both"/>
      </w:pPr>
      <w:r w:rsidRPr="008226D9">
        <w:t>-l’élaboration d'un catalogue de formation de l'entreprise</w:t>
      </w:r>
      <w:r>
        <w:t> ;</w:t>
      </w:r>
    </w:p>
    <w:p w14:paraId="40A5A2FB" w14:textId="77777777" w:rsidR="00376432" w:rsidRPr="008226D9" w:rsidRDefault="00376432" w:rsidP="00376432">
      <w:pPr>
        <w:pBdr>
          <w:top w:val="single" w:sz="4" w:space="1" w:color="auto"/>
          <w:left w:val="single" w:sz="4" w:space="4" w:color="auto"/>
          <w:bottom w:val="single" w:sz="4" w:space="1" w:color="auto"/>
          <w:right w:val="single" w:sz="4" w:space="4" w:color="auto"/>
        </w:pBdr>
        <w:jc w:val="both"/>
      </w:pPr>
      <w:r w:rsidRPr="008226D9">
        <w:t>-la mise en place d’une gestion prévisionnelle des emplois et des compétences (GPEC) et/ou d’un outil numérique structurant la démarche de GPEC</w:t>
      </w:r>
      <w:r>
        <w:t> ;</w:t>
      </w:r>
    </w:p>
    <w:p w14:paraId="2D6A591E" w14:textId="77777777" w:rsidR="00376432" w:rsidRPr="008226D9" w:rsidRDefault="00376432" w:rsidP="00376432">
      <w:pPr>
        <w:pBdr>
          <w:top w:val="single" w:sz="4" w:space="1" w:color="auto"/>
          <w:left w:val="single" w:sz="4" w:space="4" w:color="auto"/>
          <w:bottom w:val="single" w:sz="4" w:space="1" w:color="auto"/>
          <w:right w:val="single" w:sz="4" w:space="4" w:color="auto"/>
        </w:pBdr>
        <w:jc w:val="both"/>
      </w:pPr>
      <w:r w:rsidRPr="008226D9">
        <w:t>-l’élaboration de plans de formation</w:t>
      </w:r>
      <w:r>
        <w:t>.</w:t>
      </w:r>
    </w:p>
    <w:p w14:paraId="63E996E2" w14:textId="77777777" w:rsidR="00376432" w:rsidRPr="008226D9" w:rsidRDefault="00376432" w:rsidP="00376432">
      <w:pPr>
        <w:pBdr>
          <w:top w:val="single" w:sz="4" w:space="1" w:color="auto"/>
          <w:left w:val="single" w:sz="4" w:space="4" w:color="auto"/>
          <w:bottom w:val="single" w:sz="4" w:space="1" w:color="auto"/>
          <w:right w:val="single" w:sz="4" w:space="4" w:color="auto"/>
        </w:pBdr>
        <w:jc w:val="both"/>
        <w:rPr>
          <w:b/>
        </w:rPr>
      </w:pPr>
      <w:r w:rsidRPr="008226D9">
        <w:rPr>
          <w:b/>
        </w:rPr>
        <w:t xml:space="preserve">2-Le renforcement des acquis et des compétences des encadrants et dirigeants par des actions de : </w:t>
      </w:r>
    </w:p>
    <w:p w14:paraId="134E44C8" w14:textId="77777777" w:rsidR="00376432" w:rsidRPr="008226D9" w:rsidRDefault="00376432" w:rsidP="00376432">
      <w:pPr>
        <w:pBdr>
          <w:top w:val="single" w:sz="4" w:space="1" w:color="auto"/>
          <w:left w:val="single" w:sz="4" w:space="4" w:color="auto"/>
          <w:bottom w:val="single" w:sz="4" w:space="1" w:color="auto"/>
          <w:right w:val="single" w:sz="4" w:space="4" w:color="auto"/>
        </w:pBdr>
        <w:jc w:val="both"/>
      </w:pPr>
      <w:r w:rsidRPr="008226D9">
        <w:t>-développement des compétences stratégiques (analyse stratégique, positionnement marchés) et/ ou l’acquisition de compétences managériales et financières</w:t>
      </w:r>
      <w:r>
        <w:t> ;</w:t>
      </w:r>
    </w:p>
    <w:p w14:paraId="3CB1569E" w14:textId="77777777" w:rsidR="00376432" w:rsidRPr="008226D9" w:rsidRDefault="00376432" w:rsidP="00376432">
      <w:pPr>
        <w:pBdr>
          <w:top w:val="single" w:sz="4" w:space="1" w:color="auto"/>
          <w:left w:val="single" w:sz="4" w:space="4" w:color="auto"/>
          <w:bottom w:val="single" w:sz="4" w:space="1" w:color="auto"/>
          <w:right w:val="single" w:sz="4" w:space="4" w:color="auto"/>
        </w:pBdr>
        <w:jc w:val="both"/>
      </w:pPr>
      <w:r w:rsidRPr="008226D9">
        <w:t>-formation des encadrants à l’accompagnement à la formalisation d'un projet professionnel individuel</w:t>
      </w:r>
      <w:r>
        <w:t> ;</w:t>
      </w:r>
      <w:r w:rsidRPr="008226D9">
        <w:t xml:space="preserve"> </w:t>
      </w:r>
    </w:p>
    <w:p w14:paraId="7A54BA72" w14:textId="77777777" w:rsidR="00376432" w:rsidRPr="008226D9" w:rsidRDefault="00376432" w:rsidP="00376432">
      <w:pPr>
        <w:pBdr>
          <w:top w:val="single" w:sz="4" w:space="1" w:color="auto"/>
          <w:left w:val="single" w:sz="4" w:space="4" w:color="auto"/>
          <w:bottom w:val="single" w:sz="4" w:space="1" w:color="auto"/>
          <w:right w:val="single" w:sz="4" w:space="4" w:color="auto"/>
        </w:pBdr>
        <w:jc w:val="both"/>
      </w:pPr>
      <w:r w:rsidRPr="008226D9">
        <w:t>-formation des encadrants au management par les compétences</w:t>
      </w:r>
      <w:r>
        <w:t> ;</w:t>
      </w:r>
      <w:r w:rsidRPr="008226D9">
        <w:t xml:space="preserve"> </w:t>
      </w:r>
    </w:p>
    <w:p w14:paraId="1F819975" w14:textId="77777777" w:rsidR="00376432" w:rsidRPr="008226D9" w:rsidRDefault="00376432" w:rsidP="00376432">
      <w:pPr>
        <w:pBdr>
          <w:top w:val="single" w:sz="4" w:space="1" w:color="auto"/>
          <w:left w:val="single" w:sz="4" w:space="4" w:color="auto"/>
          <w:bottom w:val="single" w:sz="4" w:space="1" w:color="auto"/>
          <w:right w:val="single" w:sz="4" w:space="4" w:color="auto"/>
        </w:pBdr>
        <w:jc w:val="both"/>
      </w:pPr>
      <w:r w:rsidRPr="008226D9">
        <w:t>-formation des encadrants à la conduite d’un entretien professionnel</w:t>
      </w:r>
      <w:r>
        <w:t> ;</w:t>
      </w:r>
      <w:r w:rsidRPr="008226D9">
        <w:t xml:space="preserve"> </w:t>
      </w:r>
    </w:p>
    <w:p w14:paraId="49E8E2AA" w14:textId="77777777" w:rsidR="00376432" w:rsidRPr="008226D9" w:rsidRDefault="00376432" w:rsidP="00376432">
      <w:pPr>
        <w:pBdr>
          <w:top w:val="single" w:sz="4" w:space="1" w:color="auto"/>
          <w:left w:val="single" w:sz="4" w:space="4" w:color="auto"/>
          <w:bottom w:val="single" w:sz="4" w:space="1" w:color="auto"/>
          <w:right w:val="single" w:sz="4" w:space="4" w:color="auto"/>
        </w:pBdr>
        <w:jc w:val="both"/>
      </w:pPr>
      <w:r w:rsidRPr="008226D9">
        <w:t>-formation à la médiation active</w:t>
      </w:r>
      <w:r>
        <w:t> ;</w:t>
      </w:r>
    </w:p>
    <w:p w14:paraId="064C6057" w14:textId="77777777" w:rsidR="00376432" w:rsidRPr="008226D9" w:rsidRDefault="00376432" w:rsidP="00376432">
      <w:pPr>
        <w:pBdr>
          <w:top w:val="single" w:sz="4" w:space="1" w:color="auto"/>
          <w:left w:val="single" w:sz="4" w:space="4" w:color="auto"/>
          <w:bottom w:val="single" w:sz="4" w:space="1" w:color="auto"/>
          <w:right w:val="single" w:sz="4" w:space="4" w:color="auto"/>
        </w:pBdr>
        <w:jc w:val="both"/>
      </w:pPr>
      <w:r w:rsidRPr="008226D9">
        <w:t>-formation à la mise en œuvre des expérimentations (CDD Tremplin, EATT)</w:t>
      </w:r>
      <w:r>
        <w:t> ;</w:t>
      </w:r>
    </w:p>
    <w:p w14:paraId="3B188F25" w14:textId="77777777" w:rsidR="00376432" w:rsidRDefault="00376432" w:rsidP="00376432">
      <w:pPr>
        <w:pBdr>
          <w:top w:val="single" w:sz="4" w:space="1" w:color="auto"/>
          <w:left w:val="single" w:sz="4" w:space="4" w:color="auto"/>
          <w:bottom w:val="single" w:sz="4" w:space="1" w:color="auto"/>
          <w:right w:val="single" w:sz="4" w:space="4" w:color="auto"/>
        </w:pBdr>
        <w:jc w:val="both"/>
      </w:pPr>
      <w:r w:rsidRPr="008226D9">
        <w:t>- formation à l’ADVP (Activation du Développement Vocationnel et Personnel)</w:t>
      </w:r>
      <w:r>
        <w:t>.</w:t>
      </w:r>
    </w:p>
    <w:p w14:paraId="0C59B3B7" w14:textId="578F8D5C" w:rsidR="00311933" w:rsidRPr="00524FD8" w:rsidRDefault="00376432" w:rsidP="00C25BD5">
      <w:pPr>
        <w:jc w:val="both"/>
        <w:rPr>
          <w:rFonts w:ascii="Arial" w:hAnsi="Arial" w:cs="Arial"/>
          <w:b/>
        </w:rPr>
      </w:pPr>
      <w:r>
        <w:rPr>
          <w:rFonts w:ascii="Arial" w:hAnsi="Arial" w:cs="Arial"/>
          <w:b/>
        </w:rPr>
        <w:t xml:space="preserve">2.3. </w:t>
      </w:r>
      <w:r w:rsidR="00311933" w:rsidRPr="00524FD8">
        <w:rPr>
          <w:rFonts w:ascii="Arial" w:hAnsi="Arial" w:cs="Arial"/>
          <w:b/>
        </w:rPr>
        <w:t xml:space="preserve">Aides en faveur de l’investissement </w:t>
      </w:r>
      <w:r w:rsidR="00354854" w:rsidRPr="00354854">
        <w:rPr>
          <w:rFonts w:ascii="Arial" w:hAnsi="Arial" w:cs="Arial"/>
          <w:b/>
          <w:bCs/>
        </w:rPr>
        <w:t>des PME</w:t>
      </w:r>
    </w:p>
    <w:p w14:paraId="68502455" w14:textId="7352FA08" w:rsidR="005257C7" w:rsidRDefault="00596CED" w:rsidP="00057A9F">
      <w:pPr>
        <w:pStyle w:val="Paragraphedeliste"/>
        <w:ind w:left="0"/>
        <w:jc w:val="both"/>
        <w:rPr>
          <w:bCs/>
        </w:rPr>
      </w:pPr>
      <w:r w:rsidRPr="0023697D">
        <w:rPr>
          <w:bCs/>
        </w:rPr>
        <w:t>Les aides relatives à des projets d’investissement peuvent être consacrées à l’équipement matériel à l’exclusion du simple renouvellement</w:t>
      </w:r>
      <w:r w:rsidRPr="00D2333F">
        <w:rPr>
          <w:bCs/>
        </w:rPr>
        <w:t>.</w:t>
      </w:r>
      <w:r>
        <w:rPr>
          <w:bCs/>
        </w:rPr>
        <w:t xml:space="preserve"> </w:t>
      </w:r>
      <w:r w:rsidR="005257C7" w:rsidRPr="005257C7">
        <w:rPr>
          <w:bCs/>
        </w:rPr>
        <w:t>Elles visent les aides à l’investissement, dans des actifs corporels et/ou incorporels, se rapportant :</w:t>
      </w:r>
    </w:p>
    <w:p w14:paraId="658EBB33" w14:textId="431B6637" w:rsidR="005257C7" w:rsidRPr="00524FD8" w:rsidRDefault="007F1A09" w:rsidP="00C25BD5">
      <w:pPr>
        <w:ind w:left="1416"/>
        <w:jc w:val="both"/>
        <w:rPr>
          <w:b/>
          <w:bCs/>
        </w:rPr>
      </w:pPr>
      <w:r>
        <w:rPr>
          <w:b/>
          <w:bCs/>
        </w:rPr>
        <w:t>2.</w:t>
      </w:r>
      <w:r w:rsidR="00376432">
        <w:rPr>
          <w:b/>
          <w:bCs/>
        </w:rPr>
        <w:t>3</w:t>
      </w:r>
      <w:r>
        <w:rPr>
          <w:b/>
          <w:bCs/>
        </w:rPr>
        <w:t xml:space="preserve">.1. </w:t>
      </w:r>
      <w:r w:rsidR="00B3444B" w:rsidRPr="00524FD8">
        <w:rPr>
          <w:b/>
          <w:bCs/>
        </w:rPr>
        <w:t xml:space="preserve"> </w:t>
      </w:r>
      <w:r w:rsidR="005257C7" w:rsidRPr="00524FD8">
        <w:rPr>
          <w:b/>
          <w:bCs/>
        </w:rPr>
        <w:t>A la création d’un établissement, à l’extension d’un établissement</w:t>
      </w:r>
      <w:r w:rsidR="00AB77AD">
        <w:rPr>
          <w:rStyle w:val="Appelnotedebasdep"/>
          <w:b/>
          <w:bCs/>
        </w:rPr>
        <w:footnoteReference w:id="5"/>
      </w:r>
    </w:p>
    <w:p w14:paraId="2FB08A11" w14:textId="77777777" w:rsidR="005257C7" w:rsidRDefault="005257C7" w:rsidP="005257C7">
      <w:pPr>
        <w:jc w:val="both"/>
        <w:rPr>
          <w:bCs/>
        </w:rPr>
      </w:pPr>
      <w:r w:rsidRPr="00507017">
        <w:rPr>
          <w:bCs/>
        </w:rPr>
        <w:t>Cette aide peut ainsi contrib</w:t>
      </w:r>
      <w:r>
        <w:rPr>
          <w:bCs/>
        </w:rPr>
        <w:t xml:space="preserve">uer à la création de nouvelles entreprises adaptées </w:t>
      </w:r>
      <w:r w:rsidRPr="00507017">
        <w:rPr>
          <w:bCs/>
        </w:rPr>
        <w:t>a</w:t>
      </w:r>
      <w:r>
        <w:rPr>
          <w:bCs/>
        </w:rPr>
        <w:t>fin de réaliser les objectifs du doublement du nombre de personnes ayant bénéficié d’un accompagnement sur la période couverte par l’engagement national 2018-2022.</w:t>
      </w:r>
    </w:p>
    <w:p w14:paraId="22AD6F4A" w14:textId="77777777" w:rsidR="00FE6A47" w:rsidRDefault="005257C7" w:rsidP="00FE6A47">
      <w:pPr>
        <w:jc w:val="both"/>
        <w:rPr>
          <w:bCs/>
        </w:rPr>
      </w:pPr>
      <w:r w:rsidRPr="00507017">
        <w:rPr>
          <w:bCs/>
        </w:rPr>
        <w:t xml:space="preserve">Vous faciliterez en particulier la création </w:t>
      </w:r>
      <w:r>
        <w:rPr>
          <w:bCs/>
        </w:rPr>
        <w:t>d’</w:t>
      </w:r>
      <w:r w:rsidRPr="00CC52C0">
        <w:rPr>
          <w:bCs/>
        </w:rPr>
        <w:t xml:space="preserve">entreprises qui remplissent les conditions fixées aux articles </w:t>
      </w:r>
      <w:hyperlink r:id="rId8" w:history="1">
        <w:r w:rsidRPr="00CC52C0">
          <w:rPr>
            <w:rStyle w:val="Lienhypertexte"/>
            <w:bCs/>
          </w:rPr>
          <w:t>1</w:t>
        </w:r>
        <w:r w:rsidRPr="00A85EB6">
          <w:rPr>
            <w:rStyle w:val="Lienhypertexte"/>
            <w:bCs/>
            <w:vertAlign w:val="superscript"/>
          </w:rPr>
          <w:t>er</w:t>
        </w:r>
      </w:hyperlink>
      <w:r w:rsidRPr="00CC52C0">
        <w:rPr>
          <w:bCs/>
        </w:rPr>
        <w:t xml:space="preserve"> et </w:t>
      </w:r>
      <w:hyperlink r:id="rId9" w:history="1">
        <w:r w:rsidRPr="00CC52C0">
          <w:rPr>
            <w:rStyle w:val="Lienhypertexte"/>
            <w:bCs/>
          </w:rPr>
          <w:t>2</w:t>
        </w:r>
      </w:hyperlink>
      <w:r w:rsidRPr="00CC52C0">
        <w:rPr>
          <w:bCs/>
        </w:rPr>
        <w:t xml:space="preserve"> de la loi n° 2014-856 du 31 juillet 2014 relative à l'économie sociale et solidaire</w:t>
      </w:r>
      <w:r w:rsidRPr="00507017">
        <w:rPr>
          <w:bCs/>
        </w:rPr>
        <w:t xml:space="preserve">, </w:t>
      </w:r>
      <w:r>
        <w:rPr>
          <w:bCs/>
        </w:rPr>
        <w:t>l’essaimage</w:t>
      </w:r>
      <w:r w:rsidRPr="00507017">
        <w:rPr>
          <w:bCs/>
        </w:rPr>
        <w:t xml:space="preserve"> des structures ayant obtenu de bons résultats en matière </w:t>
      </w:r>
      <w:r>
        <w:rPr>
          <w:bCs/>
        </w:rPr>
        <w:t>d’accès à l’emploi</w:t>
      </w:r>
      <w:r w:rsidR="00C82AD0">
        <w:rPr>
          <w:bCs/>
        </w:rPr>
        <w:t xml:space="preserve">, </w:t>
      </w:r>
      <w:r>
        <w:rPr>
          <w:bCs/>
        </w:rPr>
        <w:t>en particulier</w:t>
      </w:r>
      <w:r w:rsidR="00B31E44">
        <w:rPr>
          <w:bCs/>
        </w:rPr>
        <w:t xml:space="preserve"> dans le cadre d’une mobilité</w:t>
      </w:r>
      <w:r>
        <w:rPr>
          <w:bCs/>
        </w:rPr>
        <w:t xml:space="preserve"> vers d’autres employeurs publics ou privés</w:t>
      </w:r>
      <w:r w:rsidR="00C82AD0">
        <w:rPr>
          <w:bCs/>
        </w:rPr>
        <w:t>,</w:t>
      </w:r>
      <w:r>
        <w:rPr>
          <w:bCs/>
        </w:rPr>
        <w:t xml:space="preserve"> et l</w:t>
      </w:r>
      <w:r w:rsidRPr="00507017">
        <w:rPr>
          <w:bCs/>
        </w:rPr>
        <w:t>e cas échéant</w:t>
      </w:r>
      <w:r>
        <w:rPr>
          <w:bCs/>
        </w:rPr>
        <w:t xml:space="preserve"> </w:t>
      </w:r>
      <w:r w:rsidR="00C82AD0">
        <w:rPr>
          <w:bCs/>
        </w:rPr>
        <w:t>l</w:t>
      </w:r>
      <w:r w:rsidRPr="003A2401">
        <w:rPr>
          <w:bCs/>
        </w:rPr>
        <w:t xml:space="preserve">es entreprises qui se positionnent sur des secteurs innovants et </w:t>
      </w:r>
      <w:r w:rsidR="00D40E88" w:rsidRPr="003A2401">
        <w:rPr>
          <w:bCs/>
        </w:rPr>
        <w:t>cohérents</w:t>
      </w:r>
      <w:r w:rsidRPr="003A2401">
        <w:rPr>
          <w:bCs/>
        </w:rPr>
        <w:t xml:space="preserve"> </w:t>
      </w:r>
      <w:r w:rsidR="001D4DD7">
        <w:rPr>
          <w:bCs/>
        </w:rPr>
        <w:t xml:space="preserve">notamment </w:t>
      </w:r>
      <w:r w:rsidRPr="003A2401">
        <w:rPr>
          <w:bCs/>
        </w:rPr>
        <w:t>avec le</w:t>
      </w:r>
      <w:r w:rsidR="001D4DD7">
        <w:rPr>
          <w:bCs/>
        </w:rPr>
        <w:t xml:space="preserve"> schéma régional de développement économique, d’innovation et d’internationalisation (SRDEII). </w:t>
      </w:r>
      <w:r w:rsidR="008F65E2">
        <w:rPr>
          <w:bCs/>
        </w:rPr>
        <w:t xml:space="preserve">La Direccte veille à ce que les montants d’aides susceptibles d’être attribuées </w:t>
      </w:r>
      <w:r w:rsidR="00F75FE0">
        <w:rPr>
          <w:bCs/>
        </w:rPr>
        <w:t>tiennent</w:t>
      </w:r>
      <w:r w:rsidR="00EF3E91">
        <w:rPr>
          <w:bCs/>
        </w:rPr>
        <w:t xml:space="preserve"> compte de</w:t>
      </w:r>
      <w:r w:rsidR="008F65E2">
        <w:rPr>
          <w:bCs/>
        </w:rPr>
        <w:t xml:space="preserve"> </w:t>
      </w:r>
      <w:r w:rsidR="00EF3E91">
        <w:rPr>
          <w:bCs/>
        </w:rPr>
        <w:t>l’impact en terme emploi créés.</w:t>
      </w:r>
    </w:p>
    <w:p w14:paraId="72933DCD" w14:textId="71A09883" w:rsidR="00FE6A47" w:rsidRPr="00E53FA9" w:rsidRDefault="00FE6A47" w:rsidP="00FE6A47">
      <w:pPr>
        <w:jc w:val="both"/>
        <w:rPr>
          <w:bCs/>
        </w:rPr>
      </w:pPr>
      <w:r w:rsidRPr="008D1755">
        <w:rPr>
          <w:bCs/>
        </w:rPr>
        <w:t>Les passerelles avec les autres acteurs économiques jouent un rôle central pour l’édification d’une société du travail pour tous</w:t>
      </w:r>
      <w:r w:rsidR="00C82AD0">
        <w:rPr>
          <w:bCs/>
        </w:rPr>
        <w:t>. A</w:t>
      </w:r>
      <w:r w:rsidRPr="008D1755">
        <w:rPr>
          <w:bCs/>
        </w:rPr>
        <w:t xml:space="preserve"> ce titre les co-entreprise</w:t>
      </w:r>
      <w:r w:rsidR="00B20797">
        <w:rPr>
          <w:bCs/>
        </w:rPr>
        <w:t>s</w:t>
      </w:r>
      <w:r w:rsidRPr="008D1755">
        <w:rPr>
          <w:bCs/>
        </w:rPr>
        <w:t xml:space="preserve"> « social</w:t>
      </w:r>
      <w:r w:rsidR="00B20797">
        <w:rPr>
          <w:bCs/>
        </w:rPr>
        <w:t>es</w:t>
      </w:r>
      <w:r w:rsidRPr="008D1755">
        <w:rPr>
          <w:bCs/>
        </w:rPr>
        <w:t> » associant une entreprise adaptée et d’autres entreprises</w:t>
      </w:r>
      <w:r w:rsidR="005406F4">
        <w:rPr>
          <w:bCs/>
        </w:rPr>
        <w:t xml:space="preserve"> dites « classiques »</w:t>
      </w:r>
      <w:r w:rsidRPr="008D1755">
        <w:rPr>
          <w:bCs/>
        </w:rPr>
        <w:t xml:space="preserve"> peu</w:t>
      </w:r>
      <w:r>
        <w:rPr>
          <w:bCs/>
        </w:rPr>
        <w:t>ven</w:t>
      </w:r>
      <w:r w:rsidRPr="008D1755">
        <w:rPr>
          <w:bCs/>
        </w:rPr>
        <w:t xml:space="preserve">t constituer l’une des expressions nouvelles d’un </w:t>
      </w:r>
      <w:r w:rsidR="00C82AD0">
        <w:rPr>
          <w:bCs/>
        </w:rPr>
        <w:t>« </w:t>
      </w:r>
      <w:r w:rsidRPr="008D1755">
        <w:rPr>
          <w:bCs/>
        </w:rPr>
        <w:t>entreprendre autrement</w:t>
      </w:r>
      <w:r w:rsidR="00C82AD0">
        <w:rPr>
          <w:bCs/>
        </w:rPr>
        <w:t> »</w:t>
      </w:r>
      <w:r w:rsidRPr="008D1755">
        <w:rPr>
          <w:bCs/>
        </w:rPr>
        <w:t xml:space="preserve"> dans nos territoires au bénéfice de </w:t>
      </w:r>
      <w:r w:rsidR="005406F4">
        <w:rPr>
          <w:bCs/>
        </w:rPr>
        <w:t xml:space="preserve">l’emploi des </w:t>
      </w:r>
      <w:r w:rsidRPr="008D1755">
        <w:rPr>
          <w:bCs/>
        </w:rPr>
        <w:t>travailleurs handicapés et éloignés du marché du travail.</w:t>
      </w:r>
      <w:r w:rsidR="00901B41">
        <w:rPr>
          <w:bCs/>
        </w:rPr>
        <w:t xml:space="preserve"> </w:t>
      </w:r>
      <w:r w:rsidR="00B20797">
        <w:rPr>
          <w:bCs/>
        </w:rPr>
        <w:t>Ces</w:t>
      </w:r>
      <w:r w:rsidR="00901B41">
        <w:rPr>
          <w:bCs/>
        </w:rPr>
        <w:t xml:space="preserve"> montages doivent veiller à inscrire leur développement dans les principes de concurrence loyale et de diversification des donneurs d’ordre afin d’éviter les risques de dépendance économique.</w:t>
      </w:r>
    </w:p>
    <w:p w14:paraId="15B6CC19" w14:textId="0D2D1A49" w:rsidR="005257C7" w:rsidRPr="00405B09" w:rsidRDefault="007F1A09" w:rsidP="00D40E88">
      <w:pPr>
        <w:ind w:left="1416"/>
        <w:rPr>
          <w:b/>
        </w:rPr>
      </w:pPr>
      <w:r>
        <w:rPr>
          <w:b/>
        </w:rPr>
        <w:t>2.</w:t>
      </w:r>
      <w:r w:rsidR="00D42AC6">
        <w:rPr>
          <w:b/>
        </w:rPr>
        <w:t>3</w:t>
      </w:r>
      <w:r>
        <w:rPr>
          <w:b/>
        </w:rPr>
        <w:t>.2.</w:t>
      </w:r>
      <w:r w:rsidR="00405B09">
        <w:rPr>
          <w:b/>
        </w:rPr>
        <w:t xml:space="preserve"> </w:t>
      </w:r>
      <w:r w:rsidR="005257C7" w:rsidRPr="00405B09">
        <w:rPr>
          <w:b/>
        </w:rPr>
        <w:t xml:space="preserve">Aide à la diversification de la production, changement fondamental de l’ensemble du processus de production </w:t>
      </w:r>
    </w:p>
    <w:p w14:paraId="20C0A0D8" w14:textId="77777777" w:rsidR="005257C7" w:rsidRDefault="005257C7" w:rsidP="005257C7">
      <w:pPr>
        <w:jc w:val="both"/>
        <w:rPr>
          <w:bCs/>
        </w:rPr>
      </w:pPr>
      <w:r>
        <w:rPr>
          <w:bCs/>
        </w:rPr>
        <w:t>Ces aides peuvent être a</w:t>
      </w:r>
      <w:r w:rsidRPr="00E53FA9">
        <w:rPr>
          <w:bCs/>
        </w:rPr>
        <w:t>ttribué</w:t>
      </w:r>
      <w:r>
        <w:rPr>
          <w:bCs/>
        </w:rPr>
        <w:t>e</w:t>
      </w:r>
      <w:r w:rsidRPr="00E53FA9">
        <w:rPr>
          <w:bCs/>
        </w:rPr>
        <w:t xml:space="preserve">s pour le financement de </w:t>
      </w:r>
      <w:r w:rsidRPr="00A72E2A">
        <w:rPr>
          <w:b/>
          <w:bCs/>
        </w:rPr>
        <w:t>projets d’investissements de croissance ou d’investissements nécessaires à une réorientation des activités</w:t>
      </w:r>
      <w:r>
        <w:rPr>
          <w:bCs/>
        </w:rPr>
        <w:t>.</w:t>
      </w:r>
    </w:p>
    <w:p w14:paraId="18E73611" w14:textId="77777777" w:rsidR="0057373F" w:rsidRDefault="001D4DD7" w:rsidP="005257C7">
      <w:pPr>
        <w:jc w:val="both"/>
        <w:rPr>
          <w:bCs/>
        </w:rPr>
      </w:pPr>
      <w:r>
        <w:rPr>
          <w:bCs/>
        </w:rPr>
        <w:t>L</w:t>
      </w:r>
      <w:r w:rsidR="005257C7" w:rsidRPr="00E53FA9">
        <w:rPr>
          <w:bCs/>
        </w:rPr>
        <w:t xml:space="preserve">’attribution </w:t>
      </w:r>
      <w:r w:rsidR="00C777AE">
        <w:rPr>
          <w:bCs/>
        </w:rPr>
        <w:t>de l’aide</w:t>
      </w:r>
      <w:r w:rsidR="005257C7" w:rsidRPr="00E53FA9">
        <w:rPr>
          <w:bCs/>
        </w:rPr>
        <w:t xml:space="preserve"> au titre d’actions de </w:t>
      </w:r>
      <w:r w:rsidR="00D40E88" w:rsidRPr="00E53FA9">
        <w:rPr>
          <w:bCs/>
        </w:rPr>
        <w:t>développement</w:t>
      </w:r>
      <w:r w:rsidR="00D40E88">
        <w:rPr>
          <w:bCs/>
        </w:rPr>
        <w:t xml:space="preserve"> </w:t>
      </w:r>
      <w:r w:rsidR="005257C7" w:rsidRPr="00E53FA9">
        <w:rPr>
          <w:bCs/>
        </w:rPr>
        <w:t>intervien</w:t>
      </w:r>
      <w:r w:rsidR="005F38BE">
        <w:rPr>
          <w:bCs/>
        </w:rPr>
        <w:t>t</w:t>
      </w:r>
      <w:r w:rsidR="005257C7" w:rsidRPr="00E53FA9">
        <w:rPr>
          <w:bCs/>
        </w:rPr>
        <w:t xml:space="preserve"> </w:t>
      </w:r>
      <w:r>
        <w:rPr>
          <w:bCs/>
        </w:rPr>
        <w:t xml:space="preserve">uniquement </w:t>
      </w:r>
      <w:r w:rsidR="005257C7" w:rsidRPr="00E53FA9">
        <w:rPr>
          <w:bCs/>
        </w:rPr>
        <w:t>en contrepartie d’autres financements</w:t>
      </w:r>
      <w:r w:rsidR="00D40E88">
        <w:rPr>
          <w:bCs/>
        </w:rPr>
        <w:t xml:space="preserve"> publics ou privés</w:t>
      </w:r>
      <w:r w:rsidR="005257C7" w:rsidRPr="00E53FA9">
        <w:rPr>
          <w:bCs/>
        </w:rPr>
        <w:t>.</w:t>
      </w:r>
    </w:p>
    <w:p w14:paraId="7911FB78" w14:textId="77777777" w:rsidR="00F07EDC" w:rsidRDefault="0057373F" w:rsidP="005257C7">
      <w:pPr>
        <w:jc w:val="both"/>
        <w:rPr>
          <w:bCs/>
        </w:rPr>
      </w:pPr>
      <w:r>
        <w:rPr>
          <w:bCs/>
        </w:rPr>
        <w:t>Les actions soutenues au titre des aides à la diversification de la production ou au changement de l’ensemble du processus de production peuvent concerner</w:t>
      </w:r>
      <w:r w:rsidR="00F07EDC">
        <w:rPr>
          <w:bCs/>
        </w:rPr>
        <w:t xml:space="preserve"> notamment : </w:t>
      </w:r>
    </w:p>
    <w:p w14:paraId="41E92DDE" w14:textId="77777777" w:rsidR="00F07EDC" w:rsidRDefault="00F07EDC" w:rsidP="00A72E2A">
      <w:pPr>
        <w:ind w:left="708"/>
        <w:jc w:val="both"/>
        <w:rPr>
          <w:bCs/>
        </w:rPr>
      </w:pPr>
      <w:r>
        <w:rPr>
          <w:bCs/>
        </w:rPr>
        <w:t>-</w:t>
      </w:r>
      <w:r w:rsidR="0057373F">
        <w:rPr>
          <w:bCs/>
        </w:rPr>
        <w:t xml:space="preserve"> l’accompagnement à la diversification </w:t>
      </w:r>
      <w:r w:rsidR="00E93411">
        <w:rPr>
          <w:bCs/>
        </w:rPr>
        <w:t>des activités</w:t>
      </w:r>
      <w:r w:rsidR="004925C2">
        <w:rPr>
          <w:bCs/>
        </w:rPr>
        <w:t xml:space="preserve"> comprenant des actions</w:t>
      </w:r>
      <w:r w:rsidR="009F6C32">
        <w:rPr>
          <w:bCs/>
        </w:rPr>
        <w:t xml:space="preserve"> à </w:t>
      </w:r>
      <w:r w:rsidR="00A72E2A">
        <w:rPr>
          <w:bCs/>
        </w:rPr>
        <w:t>différentes phases</w:t>
      </w:r>
      <w:r w:rsidR="009F6C32">
        <w:rPr>
          <w:bCs/>
        </w:rPr>
        <w:t xml:space="preserve"> du projet</w:t>
      </w:r>
      <w:r w:rsidR="004925C2">
        <w:rPr>
          <w:bCs/>
        </w:rPr>
        <w:t xml:space="preserve"> telles que </w:t>
      </w:r>
      <w:r w:rsidR="009F6C32">
        <w:rPr>
          <w:bCs/>
        </w:rPr>
        <w:t>les études, la recherche, le développement</w:t>
      </w:r>
      <w:r w:rsidR="007333CB">
        <w:rPr>
          <w:bCs/>
        </w:rPr>
        <w:t> ;</w:t>
      </w:r>
    </w:p>
    <w:p w14:paraId="2991807B" w14:textId="77777777" w:rsidR="0057373F" w:rsidRDefault="00F07EDC" w:rsidP="00A72E2A">
      <w:pPr>
        <w:ind w:left="708"/>
        <w:jc w:val="both"/>
        <w:rPr>
          <w:bCs/>
        </w:rPr>
      </w:pPr>
      <w:r>
        <w:rPr>
          <w:bCs/>
        </w:rPr>
        <w:t>-</w:t>
      </w:r>
      <w:r w:rsidR="0057373F">
        <w:rPr>
          <w:bCs/>
        </w:rPr>
        <w:t>l’accompagnement des investissements liés à la mise en place des expérimentations</w:t>
      </w:r>
      <w:r w:rsidR="007333CB">
        <w:rPr>
          <w:bCs/>
        </w:rPr>
        <w:t>.</w:t>
      </w:r>
    </w:p>
    <w:p w14:paraId="22500E35" w14:textId="0C2AF9F8" w:rsidR="005257C7" w:rsidRPr="00405B09" w:rsidRDefault="00376432" w:rsidP="00057A9F">
      <w:pPr>
        <w:pStyle w:val="Paragraphedeliste"/>
        <w:ind w:left="0"/>
        <w:jc w:val="both"/>
        <w:rPr>
          <w:rFonts w:ascii="Arial" w:hAnsi="Arial" w:cs="Arial"/>
          <w:b/>
          <w:color w:val="0070C0"/>
        </w:rPr>
      </w:pPr>
      <w:r w:rsidRPr="00057A9F">
        <w:rPr>
          <w:rFonts w:ascii="Arial" w:hAnsi="Arial" w:cs="Arial"/>
          <w:b/>
          <w:color w:val="0070C0"/>
        </w:rPr>
        <w:t>III.</w:t>
      </w:r>
      <w:r w:rsidR="00B25AD0" w:rsidRPr="00057A9F">
        <w:rPr>
          <w:rFonts w:ascii="Arial" w:hAnsi="Arial" w:cs="Arial"/>
          <w:b/>
          <w:color w:val="0070C0"/>
        </w:rPr>
        <w:t xml:space="preserve"> </w:t>
      </w:r>
      <w:r w:rsidR="003A5286" w:rsidRPr="003E535F">
        <w:rPr>
          <w:rFonts w:ascii="Arial" w:hAnsi="Arial" w:cs="Arial"/>
          <w:b/>
          <w:color w:val="0070C0"/>
        </w:rPr>
        <w:t>Nature</w:t>
      </w:r>
      <w:r w:rsidR="005257C7" w:rsidRPr="004D09ED">
        <w:rPr>
          <w:rFonts w:ascii="Arial" w:hAnsi="Arial" w:cs="Arial"/>
          <w:b/>
          <w:color w:val="0070C0"/>
        </w:rPr>
        <w:t xml:space="preserve"> j</w:t>
      </w:r>
      <w:r w:rsidR="005257C7" w:rsidRPr="00C518CA">
        <w:rPr>
          <w:rFonts w:ascii="Arial" w:hAnsi="Arial" w:cs="Arial"/>
          <w:b/>
          <w:color w:val="0070C0"/>
        </w:rPr>
        <w:t>uridique</w:t>
      </w:r>
      <w:r w:rsidR="005257C7" w:rsidRPr="00405B09">
        <w:rPr>
          <w:rFonts w:ascii="Arial" w:hAnsi="Arial" w:cs="Arial"/>
          <w:b/>
          <w:color w:val="0070C0"/>
        </w:rPr>
        <w:t xml:space="preserve"> </w:t>
      </w:r>
      <w:r w:rsidR="005B72CE" w:rsidRPr="00405B09">
        <w:rPr>
          <w:rFonts w:ascii="Arial" w:hAnsi="Arial" w:cs="Arial"/>
          <w:b/>
          <w:color w:val="0070C0"/>
        </w:rPr>
        <w:t xml:space="preserve">et montants des </w:t>
      </w:r>
      <w:r w:rsidR="008D1755" w:rsidRPr="00405B09">
        <w:rPr>
          <w:rFonts w:ascii="Arial" w:hAnsi="Arial" w:cs="Arial"/>
          <w:b/>
          <w:color w:val="0070C0"/>
        </w:rPr>
        <w:t>aides susceptibles</w:t>
      </w:r>
      <w:r w:rsidR="005B72CE" w:rsidRPr="00405B09">
        <w:rPr>
          <w:rFonts w:ascii="Arial" w:hAnsi="Arial" w:cs="Arial"/>
          <w:b/>
          <w:color w:val="0070C0"/>
        </w:rPr>
        <w:t xml:space="preserve"> d’être </w:t>
      </w:r>
      <w:r w:rsidR="005257C7" w:rsidRPr="00405B09">
        <w:rPr>
          <w:rFonts w:ascii="Arial" w:hAnsi="Arial" w:cs="Arial"/>
          <w:b/>
          <w:color w:val="0070C0"/>
        </w:rPr>
        <w:t>accordées dans le cadre du fonds</w:t>
      </w:r>
      <w:r w:rsidR="005B72CE" w:rsidRPr="00405B09">
        <w:rPr>
          <w:rFonts w:ascii="Arial" w:hAnsi="Arial" w:cs="Arial"/>
          <w:b/>
          <w:color w:val="0070C0"/>
        </w:rPr>
        <w:t xml:space="preserve"> d’accompagnement</w:t>
      </w:r>
      <w:r w:rsidR="009F229E">
        <w:rPr>
          <w:rFonts w:ascii="Arial" w:hAnsi="Arial" w:cs="Arial"/>
          <w:b/>
          <w:color w:val="0070C0"/>
        </w:rPr>
        <w:t xml:space="preserve"> à la transformation</w:t>
      </w:r>
      <w:r w:rsidR="005B72CE" w:rsidRPr="00405B09">
        <w:rPr>
          <w:rFonts w:ascii="Arial" w:hAnsi="Arial" w:cs="Arial"/>
          <w:b/>
          <w:color w:val="0070C0"/>
        </w:rPr>
        <w:t>.</w:t>
      </w:r>
    </w:p>
    <w:p w14:paraId="743DD4CD" w14:textId="77777777" w:rsidR="005257C7" w:rsidRPr="005257C7" w:rsidRDefault="005257C7" w:rsidP="005F38BE">
      <w:pPr>
        <w:spacing w:after="0" w:line="240" w:lineRule="auto"/>
        <w:ind w:left="284"/>
        <w:rPr>
          <w:bCs/>
        </w:rPr>
      </w:pPr>
    </w:p>
    <w:p w14:paraId="0319BC9B" w14:textId="77777777" w:rsidR="005257C7" w:rsidRPr="00405B09" w:rsidRDefault="007F1A09" w:rsidP="003E278C">
      <w:pPr>
        <w:spacing w:after="0" w:line="240" w:lineRule="auto"/>
        <w:ind w:left="1080" w:hanging="372"/>
        <w:jc w:val="both"/>
        <w:rPr>
          <w:rFonts w:ascii="Arial" w:hAnsi="Arial" w:cs="Arial"/>
          <w:b/>
        </w:rPr>
      </w:pPr>
      <w:r w:rsidRPr="003E278C">
        <w:rPr>
          <w:b/>
          <w:bCs/>
          <w:sz w:val="24"/>
        </w:rPr>
        <w:t>3.1</w:t>
      </w:r>
      <w:r w:rsidR="00405B09">
        <w:rPr>
          <w:b/>
          <w:bCs/>
          <w:sz w:val="24"/>
        </w:rPr>
        <w:tab/>
      </w:r>
      <w:r w:rsidRPr="003E278C">
        <w:rPr>
          <w:b/>
          <w:bCs/>
          <w:sz w:val="24"/>
        </w:rPr>
        <w:t xml:space="preserve"> </w:t>
      </w:r>
      <w:r w:rsidR="003E278C">
        <w:rPr>
          <w:b/>
          <w:bCs/>
          <w:sz w:val="24"/>
        </w:rPr>
        <w:tab/>
      </w:r>
      <w:r w:rsidR="005257C7" w:rsidRPr="00405B09">
        <w:rPr>
          <w:rFonts w:ascii="Arial" w:hAnsi="Arial" w:cs="Arial"/>
          <w:b/>
        </w:rPr>
        <w:t xml:space="preserve">Régime de la subvention </w:t>
      </w:r>
      <w:r w:rsidR="005B72CE" w:rsidRPr="00405B09">
        <w:rPr>
          <w:rFonts w:ascii="Arial" w:hAnsi="Arial" w:cs="Arial"/>
          <w:b/>
        </w:rPr>
        <w:t>encadré par la réglementation européenne des aides d’Etat</w:t>
      </w:r>
    </w:p>
    <w:p w14:paraId="0D652ACD" w14:textId="77777777" w:rsidR="007F1A09" w:rsidRPr="003E278C" w:rsidRDefault="007F1A09" w:rsidP="003E278C">
      <w:pPr>
        <w:spacing w:after="0" w:line="240" w:lineRule="auto"/>
        <w:jc w:val="both"/>
        <w:rPr>
          <w:rFonts w:ascii="Arial" w:hAnsi="Arial" w:cs="Arial"/>
          <w:b/>
        </w:rPr>
      </w:pPr>
    </w:p>
    <w:p w14:paraId="24E15848" w14:textId="6F94EA58" w:rsidR="00D42AC6" w:rsidRPr="00057A9F" w:rsidRDefault="00D42AC6" w:rsidP="00D42AC6">
      <w:pPr>
        <w:jc w:val="both"/>
        <w:rPr>
          <w:b/>
          <w:bCs/>
          <w:u w:val="single"/>
        </w:rPr>
      </w:pPr>
      <w:r w:rsidRPr="00A72E2A">
        <w:rPr>
          <w:bCs/>
        </w:rPr>
        <w:t>Pour l’item 2.</w:t>
      </w:r>
      <w:r>
        <w:rPr>
          <w:bCs/>
        </w:rPr>
        <w:t>1</w:t>
      </w:r>
      <w:r w:rsidRPr="00A72E2A">
        <w:rPr>
          <w:bCs/>
        </w:rPr>
        <w:t xml:space="preserve">, </w:t>
      </w:r>
      <w:r w:rsidRPr="00A72E2A">
        <w:rPr>
          <w:bCs/>
          <w:iCs/>
        </w:rPr>
        <w:t>les aides susceptibles</w:t>
      </w:r>
      <w:r w:rsidRPr="003A5286">
        <w:rPr>
          <w:bCs/>
          <w:iCs/>
        </w:rPr>
        <w:t xml:space="preserve"> d’être attribuées</w:t>
      </w:r>
      <w:r>
        <w:rPr>
          <w:bCs/>
          <w:iCs/>
        </w:rPr>
        <w:t xml:space="preserve"> dans ce cadre </w:t>
      </w:r>
      <w:r w:rsidRPr="00A72E2A">
        <w:rPr>
          <w:bCs/>
          <w:iCs/>
        </w:rPr>
        <w:t>relèvent du régime d’aides exempté n° SA.40</w:t>
      </w:r>
      <w:r>
        <w:rPr>
          <w:bCs/>
          <w:iCs/>
        </w:rPr>
        <w:t>208- rubrique aides destinées à compenser le surcoût lié à l’emploi des travailleurs handicapés</w:t>
      </w:r>
      <w:r w:rsidRPr="00A72E2A">
        <w:rPr>
          <w:bCs/>
          <w:iCs/>
        </w:rPr>
        <w:t>, relatif aux aides aux travailleurs défavorisés et aux travailleurs handicapés pour la période 2014-2020, adopté sur la base du règlement général d’exemption par catégorie n° 651/2014 de la Commission européenne, publié au JOUE du 26 juin 2014</w:t>
      </w:r>
      <w:r>
        <w:rPr>
          <w:bCs/>
          <w:iCs/>
        </w:rPr>
        <w:t>.</w:t>
      </w:r>
      <w:r w:rsidRPr="00A72E2A">
        <w:rPr>
          <w:bCs/>
          <w:iCs/>
        </w:rPr>
        <w:t xml:space="preserve"> </w:t>
      </w:r>
      <w:r w:rsidR="009F229E" w:rsidRPr="009F229E">
        <w:rPr>
          <w:b/>
          <w:bCs/>
          <w:iCs/>
          <w:u w:val="single"/>
        </w:rPr>
        <w:t>Ces aides</w:t>
      </w:r>
      <w:r w:rsidR="009F229E" w:rsidRPr="00057A9F">
        <w:rPr>
          <w:b/>
          <w:bCs/>
          <w:iCs/>
          <w:u w:val="single"/>
        </w:rPr>
        <w:t xml:space="preserve"> sont ouvertes à toutes les entreprises adaptées quelle que soit leur taille.</w:t>
      </w:r>
    </w:p>
    <w:p w14:paraId="7D27BF8E" w14:textId="011AD8D2" w:rsidR="005B72CE" w:rsidRDefault="000C4B31" w:rsidP="005F38BE">
      <w:pPr>
        <w:jc w:val="both"/>
        <w:rPr>
          <w:b/>
          <w:bCs/>
          <w:iCs/>
          <w:u w:val="single"/>
        </w:rPr>
      </w:pPr>
      <w:r>
        <w:rPr>
          <w:bCs/>
          <w:iCs/>
        </w:rPr>
        <w:t>Pour les items 2.</w:t>
      </w:r>
      <w:r w:rsidR="00D42AC6">
        <w:rPr>
          <w:bCs/>
          <w:iCs/>
        </w:rPr>
        <w:t>2 </w:t>
      </w:r>
      <w:r w:rsidR="003A5286">
        <w:rPr>
          <w:bCs/>
          <w:iCs/>
        </w:rPr>
        <w:t>et</w:t>
      </w:r>
      <w:r>
        <w:rPr>
          <w:bCs/>
          <w:iCs/>
        </w:rPr>
        <w:t xml:space="preserve"> </w:t>
      </w:r>
      <w:r w:rsidR="003A3FA7">
        <w:rPr>
          <w:bCs/>
          <w:iCs/>
        </w:rPr>
        <w:t>2.</w:t>
      </w:r>
      <w:r w:rsidR="00D42AC6">
        <w:rPr>
          <w:bCs/>
          <w:iCs/>
        </w:rPr>
        <w:t>3</w:t>
      </w:r>
      <w:r w:rsidR="003A3FA7">
        <w:rPr>
          <w:bCs/>
          <w:iCs/>
        </w:rPr>
        <w:t>,</w:t>
      </w:r>
      <w:r>
        <w:rPr>
          <w:bCs/>
          <w:iCs/>
        </w:rPr>
        <w:t xml:space="preserve"> l</w:t>
      </w:r>
      <w:r w:rsidR="005B72CE" w:rsidRPr="005257C7">
        <w:rPr>
          <w:bCs/>
          <w:iCs/>
        </w:rPr>
        <w:t>es aides susceptibles d</w:t>
      </w:r>
      <w:r w:rsidR="005B72CE" w:rsidRPr="005B72CE">
        <w:rPr>
          <w:bCs/>
          <w:iCs/>
        </w:rPr>
        <w:t xml:space="preserve">’être attribuées dans le cadre du fonds d’accompagnement </w:t>
      </w:r>
      <w:r w:rsidR="005E713F">
        <w:rPr>
          <w:bCs/>
          <w:iCs/>
        </w:rPr>
        <w:t>à</w:t>
      </w:r>
      <w:r w:rsidR="005B72CE" w:rsidRPr="005B72CE">
        <w:rPr>
          <w:bCs/>
          <w:iCs/>
        </w:rPr>
        <w:t xml:space="preserve"> la transformation relèvent du régime d’aides exempté n° SA.40453, relatif aux aides en faveur des PME p</w:t>
      </w:r>
      <w:r w:rsidR="005B72CE" w:rsidRPr="00F31983">
        <w:rPr>
          <w:bCs/>
          <w:iCs/>
        </w:rPr>
        <w:t>our la période 2014-2020, adopté sur la base du règlement général d’exemption par catégorie n° 651/2014 de la Commission européenne, publié au JOUE du 26 juin 2014</w:t>
      </w:r>
      <w:r w:rsidR="002537C7">
        <w:rPr>
          <w:bCs/>
        </w:rPr>
        <w:t>.</w:t>
      </w:r>
      <w:r w:rsidR="009F229E" w:rsidRPr="009F229E">
        <w:rPr>
          <w:b/>
          <w:bCs/>
          <w:iCs/>
          <w:u w:val="single"/>
        </w:rPr>
        <w:t xml:space="preserve"> Ces aides sont ouvertes </w:t>
      </w:r>
      <w:r w:rsidR="009F229E">
        <w:rPr>
          <w:b/>
          <w:bCs/>
          <w:iCs/>
          <w:u w:val="single"/>
        </w:rPr>
        <w:t xml:space="preserve">aux </w:t>
      </w:r>
      <w:r w:rsidR="009F229E" w:rsidRPr="009F229E">
        <w:rPr>
          <w:b/>
          <w:bCs/>
          <w:iCs/>
          <w:u w:val="single"/>
        </w:rPr>
        <w:t>entreprises adaptées</w:t>
      </w:r>
      <w:r w:rsidR="009F229E" w:rsidRPr="009F229E">
        <w:rPr>
          <w:bCs/>
        </w:rPr>
        <w:t xml:space="preserve"> </w:t>
      </w:r>
      <w:r w:rsidR="009F229E" w:rsidRPr="009F229E">
        <w:rPr>
          <w:b/>
          <w:bCs/>
          <w:iCs/>
          <w:u w:val="single"/>
        </w:rPr>
        <w:t>qui répondent à la définition de la PME.</w:t>
      </w:r>
    </w:p>
    <w:p w14:paraId="2ACB3445" w14:textId="0B9840C0" w:rsidR="005257C7" w:rsidRPr="003C6DD3" w:rsidRDefault="005C10D7" w:rsidP="003E278C">
      <w:pPr>
        <w:ind w:firstLine="708"/>
        <w:jc w:val="both"/>
        <w:rPr>
          <w:b/>
        </w:rPr>
      </w:pPr>
      <w:r>
        <w:rPr>
          <w:b/>
          <w:sz w:val="24"/>
        </w:rPr>
        <w:t>3</w:t>
      </w:r>
      <w:r w:rsidR="007F1A09" w:rsidRPr="00057A9F">
        <w:rPr>
          <w:b/>
          <w:bCs/>
          <w:sz w:val="24"/>
        </w:rPr>
        <w:t>.</w:t>
      </w:r>
      <w:r w:rsidRPr="00057A9F">
        <w:rPr>
          <w:b/>
          <w:bCs/>
          <w:sz w:val="24"/>
        </w:rPr>
        <w:t>2</w:t>
      </w:r>
      <w:r w:rsidR="007F1A09" w:rsidRPr="00057A9F">
        <w:rPr>
          <w:b/>
          <w:bCs/>
          <w:sz w:val="24"/>
        </w:rPr>
        <w:t>.</w:t>
      </w:r>
      <w:r w:rsidR="003E278C" w:rsidRPr="00057A9F">
        <w:rPr>
          <w:b/>
          <w:bCs/>
          <w:sz w:val="24"/>
        </w:rPr>
        <w:tab/>
      </w:r>
      <w:r w:rsidR="007F1A09" w:rsidRPr="003C6DD3">
        <w:rPr>
          <w:rFonts w:ascii="Arial" w:hAnsi="Arial" w:cs="Arial"/>
          <w:b/>
        </w:rPr>
        <w:t xml:space="preserve"> </w:t>
      </w:r>
      <w:r w:rsidR="005B72CE" w:rsidRPr="003C6DD3">
        <w:rPr>
          <w:rFonts w:ascii="Arial" w:hAnsi="Arial" w:cs="Arial"/>
          <w:b/>
        </w:rPr>
        <w:t>Les montants de</w:t>
      </w:r>
      <w:r w:rsidR="00A5351C" w:rsidRPr="003C6DD3">
        <w:rPr>
          <w:rFonts w:ascii="Arial" w:hAnsi="Arial" w:cs="Arial"/>
          <w:b/>
        </w:rPr>
        <w:t>s</w:t>
      </w:r>
      <w:r w:rsidR="005B72CE" w:rsidRPr="003C6DD3">
        <w:rPr>
          <w:rFonts w:ascii="Arial" w:hAnsi="Arial" w:cs="Arial"/>
          <w:b/>
        </w:rPr>
        <w:t xml:space="preserve"> aides</w:t>
      </w:r>
    </w:p>
    <w:p w14:paraId="50A11581" w14:textId="621D80CB" w:rsidR="005257C7" w:rsidRPr="003C6DD3" w:rsidRDefault="00D76D13" w:rsidP="005F38BE">
      <w:pPr>
        <w:jc w:val="both"/>
        <w:rPr>
          <w:bCs/>
        </w:rPr>
      </w:pPr>
      <w:r w:rsidRPr="003C6DD3">
        <w:rPr>
          <w:bCs/>
        </w:rPr>
        <w:t xml:space="preserve">Le calcul de l’aide est établi en proportion des coûts admissibles, dans le respect </w:t>
      </w:r>
      <w:r w:rsidR="009F229E" w:rsidRPr="003C6DD3">
        <w:rPr>
          <w:bCs/>
        </w:rPr>
        <w:t>d</w:t>
      </w:r>
      <w:r w:rsidR="009F229E">
        <w:rPr>
          <w:bCs/>
        </w:rPr>
        <w:t xml:space="preserve">es </w:t>
      </w:r>
      <w:r w:rsidRPr="003C6DD3">
        <w:rPr>
          <w:bCs/>
        </w:rPr>
        <w:t>taux plafond d’intensité d’aide autorisé</w:t>
      </w:r>
      <w:r w:rsidR="006C6895">
        <w:rPr>
          <w:bCs/>
        </w:rPr>
        <w:t>.</w:t>
      </w:r>
    </w:p>
    <w:p w14:paraId="5144403A" w14:textId="2EEC63B3" w:rsidR="00D42AC6" w:rsidRPr="0023697D" w:rsidRDefault="00D42AC6" w:rsidP="00057A9F">
      <w:pPr>
        <w:pStyle w:val="Paragraphedeliste"/>
        <w:numPr>
          <w:ilvl w:val="2"/>
          <w:numId w:val="27"/>
        </w:numPr>
        <w:jc w:val="both"/>
        <w:rPr>
          <w:bCs/>
          <w:iCs/>
        </w:rPr>
      </w:pPr>
      <w:r w:rsidRPr="0023697D">
        <w:rPr>
          <w:b/>
        </w:rPr>
        <w:t>Pour l’aide destinée à poursuivre l’effort d’investissement engagés avant le 1</w:t>
      </w:r>
      <w:r w:rsidRPr="0023697D">
        <w:rPr>
          <w:b/>
          <w:vertAlign w:val="superscript"/>
        </w:rPr>
        <w:t>er</w:t>
      </w:r>
      <w:r w:rsidRPr="0023697D">
        <w:rPr>
          <w:b/>
        </w:rPr>
        <w:t xml:space="preserve"> janvier 2019, sur une période transitoire 2019-2021</w:t>
      </w:r>
      <w:r w:rsidR="009F229E" w:rsidRPr="0023697D">
        <w:rPr>
          <w:b/>
        </w:rPr>
        <w:t>.</w:t>
      </w:r>
      <w:r w:rsidRPr="0023697D">
        <w:rPr>
          <w:b/>
        </w:rPr>
        <w:t xml:space="preserve"> </w:t>
      </w:r>
    </w:p>
    <w:p w14:paraId="4260E489" w14:textId="0EDAFC73" w:rsidR="00D42AC6" w:rsidRDefault="00D42AC6" w:rsidP="00D42AC6">
      <w:pPr>
        <w:ind w:left="360"/>
        <w:jc w:val="both"/>
        <w:rPr>
          <w:bCs/>
          <w:iCs/>
        </w:rPr>
      </w:pPr>
      <w:r w:rsidRPr="00BF4DBF">
        <w:rPr>
          <w:bCs/>
          <w:iCs/>
        </w:rPr>
        <w:t>Les entreprises, quelle que soit leur taille, peuvent bénéficier d</w:t>
      </w:r>
      <w:r>
        <w:rPr>
          <w:bCs/>
          <w:iCs/>
        </w:rPr>
        <w:t>e cette aide, dans limite des crédits disponibles.</w:t>
      </w:r>
      <w:r w:rsidRPr="00BF4DBF">
        <w:rPr>
          <w:bCs/>
          <w:iCs/>
        </w:rPr>
        <w:t xml:space="preserve"> </w:t>
      </w:r>
      <w:r w:rsidRPr="00A72E2A">
        <w:rPr>
          <w:bCs/>
          <w:iCs/>
        </w:rPr>
        <w:t>L</w:t>
      </w:r>
      <w:r>
        <w:rPr>
          <w:bCs/>
          <w:iCs/>
        </w:rPr>
        <w:t xml:space="preserve">e montant de l’aide </w:t>
      </w:r>
      <w:r w:rsidRPr="00A72E2A">
        <w:rPr>
          <w:bCs/>
          <w:iCs/>
        </w:rPr>
        <w:t>se calcule</w:t>
      </w:r>
      <w:r>
        <w:rPr>
          <w:bCs/>
          <w:iCs/>
        </w:rPr>
        <w:t xml:space="preserve"> en prenant en compte</w:t>
      </w:r>
      <w:r w:rsidR="00AB77AD">
        <w:rPr>
          <w:bCs/>
          <w:iCs/>
        </w:rPr>
        <w:t xml:space="preserve"> un pourcentage des d</w:t>
      </w:r>
      <w:r>
        <w:rPr>
          <w:bCs/>
          <w:iCs/>
        </w:rPr>
        <w:t>otation</w:t>
      </w:r>
      <w:r w:rsidR="00AB77AD">
        <w:rPr>
          <w:bCs/>
          <w:iCs/>
        </w:rPr>
        <w:t>s</w:t>
      </w:r>
      <w:r>
        <w:rPr>
          <w:bCs/>
          <w:iCs/>
        </w:rPr>
        <w:t xml:space="preserve"> aux </w:t>
      </w:r>
      <w:r w:rsidR="00FC55A1">
        <w:rPr>
          <w:bCs/>
          <w:iCs/>
        </w:rPr>
        <w:t xml:space="preserve">amortissements </w:t>
      </w:r>
      <w:r w:rsidR="008C71AA">
        <w:rPr>
          <w:bCs/>
          <w:iCs/>
        </w:rPr>
        <w:t>restant pour</w:t>
      </w:r>
      <w:r w:rsidR="00AB77AD">
        <w:rPr>
          <w:bCs/>
          <w:iCs/>
        </w:rPr>
        <w:t xml:space="preserve"> chacune des années de la période 2019-2021 au titre des </w:t>
      </w:r>
      <w:r>
        <w:rPr>
          <w:bCs/>
          <w:iCs/>
        </w:rPr>
        <w:t>investissements réalisés avant le 31/12/2018 et non totalement amortis à la date de la demande</w:t>
      </w:r>
      <w:r w:rsidR="00AB77AD">
        <w:rPr>
          <w:bCs/>
          <w:iCs/>
        </w:rPr>
        <w:t xml:space="preserve"> (c’est-à-dire les rubriques QA+QI+QM de la liasse fiscale)</w:t>
      </w:r>
      <w:r>
        <w:rPr>
          <w:bCs/>
          <w:iCs/>
        </w:rPr>
        <w:t xml:space="preserve">, </w:t>
      </w:r>
      <w:r w:rsidRPr="00A72E2A">
        <w:rPr>
          <w:bCs/>
          <w:iCs/>
        </w:rPr>
        <w:t>ainsi :</w:t>
      </w:r>
    </w:p>
    <w:p w14:paraId="02139196" w14:textId="09ED8958" w:rsidR="008C71AA" w:rsidRPr="00057A9F" w:rsidRDefault="008C71AA" w:rsidP="00057A9F">
      <w:pPr>
        <w:spacing w:after="0" w:line="240" w:lineRule="auto"/>
        <w:ind w:left="360"/>
        <w:jc w:val="both"/>
        <w:rPr>
          <w:b/>
          <w:bCs/>
          <w:iCs/>
        </w:rPr>
      </w:pPr>
      <w:r w:rsidRPr="00057A9F">
        <w:rPr>
          <w:b/>
          <w:bCs/>
          <w:iCs/>
        </w:rPr>
        <w:t xml:space="preserve">a) </w:t>
      </w:r>
      <w:r w:rsidR="00E237DB" w:rsidRPr="00057A9F">
        <w:rPr>
          <w:b/>
          <w:bCs/>
          <w:iCs/>
        </w:rPr>
        <w:t>pour chaque année (2019-2020-2021</w:t>
      </w:r>
      <w:r w:rsidR="00057A9F" w:rsidRPr="00057A9F">
        <w:rPr>
          <w:b/>
          <w:bCs/>
          <w:iCs/>
        </w:rPr>
        <w:t>) les</w:t>
      </w:r>
      <w:r w:rsidRPr="00057A9F">
        <w:rPr>
          <w:b/>
          <w:bCs/>
          <w:iCs/>
        </w:rPr>
        <w:t xml:space="preserve"> coûts admissibles sont des dotations aux amortissements relatifs : </w:t>
      </w:r>
    </w:p>
    <w:p w14:paraId="27C121D1" w14:textId="77777777" w:rsidR="008C71AA" w:rsidRPr="008C71AA" w:rsidRDefault="008C71AA" w:rsidP="00057A9F">
      <w:pPr>
        <w:numPr>
          <w:ilvl w:val="0"/>
          <w:numId w:val="24"/>
        </w:numPr>
        <w:spacing w:after="0" w:line="240" w:lineRule="auto"/>
        <w:jc w:val="both"/>
        <w:rPr>
          <w:bCs/>
          <w:iCs/>
        </w:rPr>
      </w:pPr>
      <w:r w:rsidRPr="008C71AA">
        <w:rPr>
          <w:bCs/>
          <w:iCs/>
        </w:rPr>
        <w:t>aux matériels, outillages industriels, matériels de transport dédiés à la production, de matériels informatique, de mobilier,</w:t>
      </w:r>
    </w:p>
    <w:p w14:paraId="373B0EB1" w14:textId="78BAAE96" w:rsidR="008C71AA" w:rsidRPr="008C71AA" w:rsidRDefault="008C71AA" w:rsidP="00057A9F">
      <w:pPr>
        <w:numPr>
          <w:ilvl w:val="0"/>
          <w:numId w:val="24"/>
        </w:numPr>
        <w:spacing w:after="0" w:line="240" w:lineRule="auto"/>
        <w:jc w:val="both"/>
        <w:rPr>
          <w:bCs/>
          <w:iCs/>
        </w:rPr>
      </w:pPr>
      <w:r w:rsidRPr="008C71AA">
        <w:rPr>
          <w:bCs/>
          <w:iCs/>
        </w:rPr>
        <w:t xml:space="preserve">le cas échéant en cas de crédit-bail mobilier portant sur les mêmes types de matériels mentionnés </w:t>
      </w:r>
      <w:r w:rsidR="00057A9F" w:rsidRPr="008C71AA">
        <w:rPr>
          <w:bCs/>
          <w:iCs/>
        </w:rPr>
        <w:t>supra</w:t>
      </w:r>
      <w:r w:rsidRPr="008C71AA">
        <w:rPr>
          <w:bCs/>
          <w:iCs/>
        </w:rPr>
        <w:t>, sont pris en compte 2/3 des loyers payés,</w:t>
      </w:r>
    </w:p>
    <w:p w14:paraId="6FAF65E1" w14:textId="77777777" w:rsidR="008C71AA" w:rsidRPr="008C71AA" w:rsidRDefault="008C71AA" w:rsidP="00057A9F">
      <w:pPr>
        <w:numPr>
          <w:ilvl w:val="0"/>
          <w:numId w:val="24"/>
        </w:numPr>
        <w:spacing w:after="0" w:line="240" w:lineRule="auto"/>
        <w:jc w:val="both"/>
        <w:rPr>
          <w:bCs/>
          <w:iCs/>
        </w:rPr>
      </w:pPr>
      <w:r w:rsidRPr="008C71AA">
        <w:rPr>
          <w:bCs/>
          <w:iCs/>
        </w:rPr>
        <w:t>les cas échéant, les dotations aux amortissements des aménagements de locaux relatifs à l’accessibilité.</w:t>
      </w:r>
    </w:p>
    <w:p w14:paraId="36E450D1" w14:textId="6C8D5EC6" w:rsidR="008C71AA" w:rsidRDefault="008C71AA" w:rsidP="008C71AA">
      <w:pPr>
        <w:ind w:left="360"/>
        <w:jc w:val="both"/>
        <w:rPr>
          <w:bCs/>
          <w:iCs/>
        </w:rPr>
      </w:pPr>
      <w:r w:rsidRPr="008C71AA">
        <w:rPr>
          <w:bCs/>
          <w:iCs/>
        </w:rPr>
        <w:t>Sont exclus les éléments concernant l’immobilier, les frais liés à l’agencement des locaux hors accessibilité, et les locations.</w:t>
      </w:r>
    </w:p>
    <w:p w14:paraId="0679B55D" w14:textId="25D3FFB7" w:rsidR="008C71AA" w:rsidRPr="008C71AA" w:rsidRDefault="008C71AA" w:rsidP="008C71AA">
      <w:pPr>
        <w:ind w:left="360"/>
        <w:jc w:val="both"/>
        <w:rPr>
          <w:bCs/>
          <w:iCs/>
        </w:rPr>
      </w:pPr>
      <w:r w:rsidRPr="00057A9F">
        <w:rPr>
          <w:b/>
          <w:bCs/>
          <w:iCs/>
        </w:rPr>
        <w:t>b) pour chaque année (2019-2020-2021) l’entreprise fournit à la Direccte un état des immobilisations</w:t>
      </w:r>
      <w:r w:rsidR="00B0047D" w:rsidRPr="00057A9F">
        <w:rPr>
          <w:b/>
          <w:bCs/>
          <w:iCs/>
        </w:rPr>
        <w:t xml:space="preserve"> corporelles ou incorporelles</w:t>
      </w:r>
      <w:r w:rsidRPr="00057A9F">
        <w:rPr>
          <w:b/>
          <w:bCs/>
          <w:iCs/>
        </w:rPr>
        <w:t xml:space="preserve"> </w:t>
      </w:r>
      <w:r w:rsidR="00B0047D" w:rsidRPr="00057A9F">
        <w:rPr>
          <w:b/>
          <w:bCs/>
          <w:iCs/>
        </w:rPr>
        <w:t xml:space="preserve">non totalement amorties </w:t>
      </w:r>
      <w:r w:rsidRPr="00057A9F">
        <w:rPr>
          <w:b/>
          <w:bCs/>
          <w:iCs/>
        </w:rPr>
        <w:t>à date</w:t>
      </w:r>
      <w:r w:rsidR="00B0047D">
        <w:rPr>
          <w:bCs/>
          <w:iCs/>
        </w:rPr>
        <w:t>,</w:t>
      </w:r>
      <w:r w:rsidR="00B0047D" w:rsidRPr="00B0047D">
        <w:rPr>
          <w:bCs/>
          <w:iCs/>
        </w:rPr>
        <w:t xml:space="preserve"> considérées comme coûts admissibles et relevant </w:t>
      </w:r>
      <w:r w:rsidR="00B0047D">
        <w:rPr>
          <w:bCs/>
          <w:iCs/>
        </w:rPr>
        <w:t>d’</w:t>
      </w:r>
      <w:r>
        <w:rPr>
          <w:bCs/>
          <w:iCs/>
        </w:rPr>
        <w:t>investissements réalisés avant le 31/12/2018.</w:t>
      </w:r>
    </w:p>
    <w:p w14:paraId="1A2C3217" w14:textId="19A97061" w:rsidR="00D42AC6" w:rsidRPr="00A72E2A" w:rsidRDefault="00FC55A1" w:rsidP="00D42AC6">
      <w:pPr>
        <w:pStyle w:val="Paragraphedeliste"/>
        <w:numPr>
          <w:ilvl w:val="0"/>
          <w:numId w:val="16"/>
        </w:numPr>
        <w:jc w:val="both"/>
        <w:rPr>
          <w:b/>
          <w:bCs/>
          <w:iCs/>
        </w:rPr>
      </w:pPr>
      <w:r>
        <w:rPr>
          <w:b/>
          <w:bCs/>
          <w:iCs/>
        </w:rPr>
        <w:t>P</w:t>
      </w:r>
      <w:r w:rsidR="00D42AC6" w:rsidRPr="00A72E2A">
        <w:rPr>
          <w:b/>
          <w:bCs/>
          <w:iCs/>
        </w:rPr>
        <w:t xml:space="preserve">our l’année 2019 : </w:t>
      </w:r>
    </w:p>
    <w:p w14:paraId="50E9DDD3" w14:textId="1063312D" w:rsidR="00D42AC6" w:rsidRPr="00FA2B25" w:rsidRDefault="00D42AC6" w:rsidP="00057A9F">
      <w:pPr>
        <w:pStyle w:val="Paragraphedeliste"/>
        <w:jc w:val="both"/>
        <w:rPr>
          <w:bCs/>
          <w:iCs/>
        </w:rPr>
      </w:pPr>
      <w:r w:rsidRPr="00A72E2A">
        <w:rPr>
          <w:bCs/>
          <w:iCs/>
        </w:rPr>
        <w:t xml:space="preserve">30 % de la dotation aux amortissements </w:t>
      </w:r>
      <w:r>
        <w:rPr>
          <w:bCs/>
          <w:iCs/>
        </w:rPr>
        <w:t xml:space="preserve">restant en 2018 au titre de l’investissement réalisé avant le 31 décembre </w:t>
      </w:r>
      <w:r w:rsidRPr="00A72E2A">
        <w:rPr>
          <w:bCs/>
          <w:iCs/>
        </w:rPr>
        <w:t xml:space="preserve">de l’année </w:t>
      </w:r>
      <w:r>
        <w:rPr>
          <w:bCs/>
          <w:iCs/>
        </w:rPr>
        <w:t>2018 (c’est-à-dire les rubriques</w:t>
      </w:r>
      <w:r w:rsidR="00721153">
        <w:rPr>
          <w:bCs/>
          <w:iCs/>
        </w:rPr>
        <w:t xml:space="preserve"> QA+QI+QM de la liasse fiscale) et l</w:t>
      </w:r>
      <w:r w:rsidR="00721153" w:rsidRPr="00721153">
        <w:rPr>
          <w:bCs/>
          <w:iCs/>
        </w:rPr>
        <w:t>e cas échéant en cas de crédit-bail mobilier portant sur les mêmes types de matériels mentionnés supra, sont pris en compte 2/3 des loyers payés</w:t>
      </w:r>
      <w:r w:rsidR="00721153">
        <w:rPr>
          <w:bCs/>
          <w:iCs/>
        </w:rPr>
        <w:t>.</w:t>
      </w:r>
    </w:p>
    <w:p w14:paraId="3F41EB09" w14:textId="77777777" w:rsidR="00D42AC6" w:rsidRPr="00A72E2A" w:rsidRDefault="00D42AC6" w:rsidP="00D42AC6">
      <w:pPr>
        <w:pStyle w:val="Paragraphedeliste"/>
        <w:jc w:val="both"/>
        <w:rPr>
          <w:bCs/>
          <w:iCs/>
        </w:rPr>
      </w:pPr>
      <w:r w:rsidRPr="00A72E2A">
        <w:rPr>
          <w:bCs/>
          <w:iCs/>
        </w:rPr>
        <w:t xml:space="preserve">Le montant de cette aide est plafonné à 1000 € </w:t>
      </w:r>
      <w:r>
        <w:rPr>
          <w:bCs/>
          <w:iCs/>
        </w:rPr>
        <w:t>par travailleur handicapé en ETP dans la limite de l’effectif total de référence tel que prévu par le dernier avenant financier définitif de l’année 2018.</w:t>
      </w:r>
    </w:p>
    <w:p w14:paraId="5EE29780" w14:textId="77777777" w:rsidR="00D42AC6" w:rsidRPr="00A72E2A" w:rsidRDefault="00D42AC6" w:rsidP="00D42AC6">
      <w:pPr>
        <w:pStyle w:val="Paragraphedeliste"/>
        <w:jc w:val="both"/>
        <w:rPr>
          <w:bCs/>
          <w:iCs/>
        </w:rPr>
      </w:pPr>
    </w:p>
    <w:p w14:paraId="35DB0488" w14:textId="77777777" w:rsidR="00D42AC6" w:rsidRPr="00A72E2A" w:rsidRDefault="00D42AC6" w:rsidP="00D42AC6">
      <w:pPr>
        <w:pStyle w:val="Paragraphedeliste"/>
        <w:numPr>
          <w:ilvl w:val="0"/>
          <w:numId w:val="16"/>
        </w:numPr>
        <w:jc w:val="both"/>
        <w:rPr>
          <w:b/>
          <w:bCs/>
          <w:iCs/>
        </w:rPr>
      </w:pPr>
      <w:r w:rsidRPr="00A72E2A">
        <w:rPr>
          <w:b/>
          <w:bCs/>
          <w:iCs/>
        </w:rPr>
        <w:t xml:space="preserve">Pour l’année 2020 : </w:t>
      </w:r>
    </w:p>
    <w:p w14:paraId="2E49B8FD" w14:textId="6AD3F6FA" w:rsidR="00D42AC6" w:rsidRPr="0097391D" w:rsidRDefault="00D42AC6" w:rsidP="00D42AC6">
      <w:pPr>
        <w:pStyle w:val="Paragraphedeliste"/>
        <w:jc w:val="both"/>
        <w:rPr>
          <w:bCs/>
          <w:iCs/>
        </w:rPr>
      </w:pPr>
      <w:r>
        <w:rPr>
          <w:bCs/>
          <w:iCs/>
        </w:rPr>
        <w:t>2</w:t>
      </w:r>
      <w:r w:rsidRPr="0097391D">
        <w:rPr>
          <w:bCs/>
          <w:iCs/>
        </w:rPr>
        <w:t xml:space="preserve">0 % de la dotation aux amortissements </w:t>
      </w:r>
      <w:r w:rsidRPr="003B1C81">
        <w:rPr>
          <w:bCs/>
          <w:iCs/>
        </w:rPr>
        <w:t>restant en 2019 au titre de l’investissement réalisé avant le 31 décembre de l’année 2018</w:t>
      </w:r>
      <w:r w:rsidR="00721153">
        <w:rPr>
          <w:bCs/>
          <w:iCs/>
        </w:rPr>
        <w:t xml:space="preserve"> et l</w:t>
      </w:r>
      <w:r w:rsidR="00721153" w:rsidRPr="00721153">
        <w:rPr>
          <w:bCs/>
          <w:iCs/>
        </w:rPr>
        <w:t>e cas échéant en cas de crédit-bail mobilier portant sur les mêmes types de matériels mentionnés supra, sont pris en compte 2/3 des loyers payés.</w:t>
      </w:r>
    </w:p>
    <w:p w14:paraId="5D4A84BF" w14:textId="77777777" w:rsidR="00D42AC6" w:rsidRPr="003B1C81" w:rsidRDefault="00D42AC6" w:rsidP="00D42AC6">
      <w:pPr>
        <w:pStyle w:val="Paragraphedeliste"/>
        <w:jc w:val="both"/>
        <w:rPr>
          <w:bCs/>
          <w:iCs/>
        </w:rPr>
      </w:pPr>
      <w:r w:rsidRPr="0097391D">
        <w:rPr>
          <w:bCs/>
          <w:iCs/>
        </w:rPr>
        <w:t xml:space="preserve">Le montant de cette aide est plafonné à </w:t>
      </w:r>
      <w:r>
        <w:rPr>
          <w:bCs/>
          <w:iCs/>
        </w:rPr>
        <w:t xml:space="preserve">750 </w:t>
      </w:r>
      <w:r w:rsidRPr="0097391D">
        <w:rPr>
          <w:bCs/>
          <w:iCs/>
        </w:rPr>
        <w:t xml:space="preserve">€ </w:t>
      </w:r>
      <w:r w:rsidRPr="003B1C81">
        <w:rPr>
          <w:bCs/>
          <w:iCs/>
        </w:rPr>
        <w:t>par travailleur handicapé en ETP dans la limite de l’effectif total de référence tel que prévu par le dernier avenant financier définitif de l’année 2018.</w:t>
      </w:r>
    </w:p>
    <w:p w14:paraId="0ED36E21" w14:textId="77777777" w:rsidR="00D42AC6" w:rsidRDefault="00D42AC6" w:rsidP="00D42AC6">
      <w:pPr>
        <w:pStyle w:val="Paragraphedeliste"/>
        <w:jc w:val="both"/>
        <w:rPr>
          <w:bCs/>
          <w:iCs/>
        </w:rPr>
      </w:pPr>
    </w:p>
    <w:p w14:paraId="60349A30" w14:textId="77777777" w:rsidR="00D42AC6" w:rsidRPr="00A72E2A" w:rsidRDefault="00D42AC6" w:rsidP="00D42AC6">
      <w:pPr>
        <w:pStyle w:val="Paragraphedeliste"/>
        <w:numPr>
          <w:ilvl w:val="0"/>
          <w:numId w:val="16"/>
        </w:numPr>
        <w:jc w:val="both"/>
        <w:rPr>
          <w:b/>
          <w:bCs/>
          <w:iCs/>
        </w:rPr>
      </w:pPr>
      <w:r w:rsidRPr="00A72E2A">
        <w:rPr>
          <w:b/>
          <w:bCs/>
          <w:iCs/>
        </w:rPr>
        <w:t xml:space="preserve">Pour l’année 2021 : </w:t>
      </w:r>
    </w:p>
    <w:p w14:paraId="478C884D" w14:textId="3291463F" w:rsidR="00B0047D" w:rsidRDefault="00D42AC6" w:rsidP="00D42AC6">
      <w:pPr>
        <w:pStyle w:val="Paragraphedeliste"/>
        <w:jc w:val="both"/>
        <w:rPr>
          <w:bCs/>
          <w:iCs/>
        </w:rPr>
      </w:pPr>
      <w:r>
        <w:rPr>
          <w:bCs/>
          <w:iCs/>
        </w:rPr>
        <w:t>1</w:t>
      </w:r>
      <w:r w:rsidRPr="0097391D">
        <w:rPr>
          <w:bCs/>
          <w:iCs/>
        </w:rPr>
        <w:t>0 % de la dotation aux amortissements</w:t>
      </w:r>
      <w:r w:rsidRPr="003B1C81">
        <w:rPr>
          <w:bCs/>
          <w:iCs/>
        </w:rPr>
        <w:t xml:space="preserve"> </w:t>
      </w:r>
      <w:r>
        <w:rPr>
          <w:bCs/>
          <w:iCs/>
        </w:rPr>
        <w:t>restant en 2020</w:t>
      </w:r>
      <w:r w:rsidRPr="003B1C81">
        <w:rPr>
          <w:bCs/>
          <w:iCs/>
        </w:rPr>
        <w:t xml:space="preserve"> au titre de l’investissement réalisé avant le 31 décembre de l’année </w:t>
      </w:r>
      <w:r w:rsidR="009F229E" w:rsidRPr="003B1C81">
        <w:rPr>
          <w:bCs/>
          <w:iCs/>
        </w:rPr>
        <w:t>2018</w:t>
      </w:r>
      <w:r w:rsidR="00721153">
        <w:rPr>
          <w:bCs/>
          <w:iCs/>
        </w:rPr>
        <w:t xml:space="preserve"> et l</w:t>
      </w:r>
      <w:r w:rsidR="00721153" w:rsidRPr="00721153">
        <w:rPr>
          <w:bCs/>
          <w:iCs/>
        </w:rPr>
        <w:t>e cas échéant en cas de crédit-bail mobilier portant sur les mêmes types de matériels mentionnés supra, sont pris en compte 2/3 des loyers payés.</w:t>
      </w:r>
    </w:p>
    <w:p w14:paraId="3405702B" w14:textId="7882A8A4" w:rsidR="00D42AC6" w:rsidRDefault="00D42AC6" w:rsidP="00D42AC6">
      <w:pPr>
        <w:pStyle w:val="Paragraphedeliste"/>
        <w:jc w:val="both"/>
        <w:rPr>
          <w:bCs/>
          <w:iCs/>
        </w:rPr>
      </w:pPr>
      <w:r w:rsidRPr="0097391D">
        <w:rPr>
          <w:bCs/>
          <w:iCs/>
        </w:rPr>
        <w:t xml:space="preserve">Le montant de cette aide est plafonné à </w:t>
      </w:r>
      <w:r>
        <w:rPr>
          <w:bCs/>
          <w:iCs/>
        </w:rPr>
        <w:t>500</w:t>
      </w:r>
      <w:r w:rsidRPr="0097391D">
        <w:rPr>
          <w:bCs/>
          <w:iCs/>
        </w:rPr>
        <w:t xml:space="preserve"> € </w:t>
      </w:r>
      <w:r w:rsidRPr="003B1C81">
        <w:rPr>
          <w:bCs/>
          <w:iCs/>
        </w:rPr>
        <w:t>par travailleur handicapé en ETP dans la limite de l’effectif total de référence tel que prévu par le dernier avenant financier définitif de l’année 2018.</w:t>
      </w:r>
    </w:p>
    <w:p w14:paraId="33435F04" w14:textId="77777777" w:rsidR="009F229E" w:rsidRPr="003B1C81" w:rsidRDefault="009F229E" w:rsidP="00D42AC6">
      <w:pPr>
        <w:pStyle w:val="Paragraphedeliste"/>
        <w:jc w:val="both"/>
        <w:rPr>
          <w:bCs/>
          <w:iCs/>
        </w:rPr>
      </w:pPr>
    </w:p>
    <w:p w14:paraId="4FACE97A" w14:textId="34764975" w:rsidR="00D42AC6" w:rsidRPr="0023697D" w:rsidRDefault="009F229E" w:rsidP="00D42AC6">
      <w:pPr>
        <w:pStyle w:val="Paragraphedeliste"/>
        <w:numPr>
          <w:ilvl w:val="2"/>
          <w:numId w:val="23"/>
        </w:numPr>
        <w:jc w:val="both"/>
        <w:rPr>
          <w:b/>
        </w:rPr>
      </w:pPr>
      <w:r w:rsidRPr="0023697D">
        <w:rPr>
          <w:b/>
          <w:bCs/>
          <w:iCs/>
        </w:rPr>
        <w:t>Pour l</w:t>
      </w:r>
      <w:r w:rsidR="00D42AC6" w:rsidRPr="0023697D">
        <w:rPr>
          <w:b/>
        </w:rPr>
        <w:t>’aide destinée à engager l’accompagnement de la modernisation des EA à compter du 1</w:t>
      </w:r>
      <w:r w:rsidR="00D42AC6" w:rsidRPr="0023697D">
        <w:rPr>
          <w:b/>
          <w:vertAlign w:val="superscript"/>
        </w:rPr>
        <w:t>er</w:t>
      </w:r>
      <w:r w:rsidR="00D42AC6" w:rsidRPr="0023697D">
        <w:rPr>
          <w:b/>
        </w:rPr>
        <w:t xml:space="preserve"> janvier 2019</w:t>
      </w:r>
    </w:p>
    <w:p w14:paraId="3785CE94" w14:textId="0030E957" w:rsidR="00D42AC6" w:rsidRDefault="00D42AC6" w:rsidP="00D42AC6">
      <w:pPr>
        <w:ind w:left="644"/>
        <w:jc w:val="both"/>
      </w:pPr>
      <w:r w:rsidRPr="0081176E">
        <w:t>Les entreprises, quelle que soit leur taille, peuvent bénéficier d</w:t>
      </w:r>
      <w:r w:rsidRPr="00AE0D1D">
        <w:t>e ce dispositif.</w:t>
      </w:r>
      <w:r w:rsidRPr="0081176E">
        <w:t xml:space="preserve"> </w:t>
      </w:r>
      <w:r w:rsidRPr="004B4583">
        <w:t xml:space="preserve">Les aides </w:t>
      </w:r>
      <w:r>
        <w:t>concourent au financement,</w:t>
      </w:r>
      <w:r w:rsidRPr="007C4F88">
        <w:t xml:space="preserve"> </w:t>
      </w:r>
      <w:r w:rsidRPr="004B4583">
        <w:t>à titre prioritaire</w:t>
      </w:r>
      <w:r>
        <w:t>, d</w:t>
      </w:r>
      <w:r w:rsidRPr="00AE0D1D">
        <w:t xml:space="preserve">e projets </w:t>
      </w:r>
      <w:r>
        <w:t>qui</w:t>
      </w:r>
      <w:r w:rsidRPr="00AE0D1D">
        <w:t xml:space="preserve"> s’inscrivent</w:t>
      </w:r>
      <w:r>
        <w:t>,</w:t>
      </w:r>
      <w:r w:rsidRPr="004B4583">
        <w:t xml:space="preserve"> </w:t>
      </w:r>
      <w:r w:rsidRPr="00AE0D1D">
        <w:t xml:space="preserve">dans </w:t>
      </w:r>
      <w:r>
        <w:t>l’</w:t>
      </w:r>
      <w:r w:rsidRPr="00AE0D1D">
        <w:t xml:space="preserve">accompagnement de la mise en œuvre d’une activité nouvelle, la diversification de la production ou l’accompagnement des changements des processus de </w:t>
      </w:r>
      <w:r w:rsidRPr="0081176E">
        <w:t>production</w:t>
      </w:r>
      <w:r w:rsidRPr="0081176E" w:rsidDel="002D4EEB">
        <w:t xml:space="preserve"> </w:t>
      </w:r>
      <w:r w:rsidRPr="0081176E">
        <w:t>notamment</w:t>
      </w:r>
      <w:r w:rsidRPr="00AE0D1D">
        <w:t xml:space="preserve"> dans le cadre de l’engagement dans une expérimentation.</w:t>
      </w:r>
    </w:p>
    <w:p w14:paraId="2352D4C4" w14:textId="77777777" w:rsidR="00D42AC6" w:rsidRDefault="00D42AC6" w:rsidP="00D42AC6">
      <w:pPr>
        <w:ind w:left="644"/>
        <w:jc w:val="both"/>
      </w:pPr>
      <w:r>
        <w:t xml:space="preserve">Les coûts admissibles sont : </w:t>
      </w:r>
    </w:p>
    <w:p w14:paraId="3BB9243E" w14:textId="77777777" w:rsidR="00D42AC6" w:rsidRDefault="00D42AC6" w:rsidP="00D42AC6">
      <w:pPr>
        <w:pStyle w:val="Paragraphedeliste"/>
        <w:numPr>
          <w:ilvl w:val="0"/>
          <w:numId w:val="25"/>
        </w:numPr>
        <w:jc w:val="both"/>
      </w:pPr>
      <w:r w:rsidRPr="0081176E">
        <w:t xml:space="preserve">Les coûts liés à l'adaptation des équipements existants, à l'acquisition de nouveaux équipements ou à l'acquisition et à la validation de logiciels destinés à être utilisés par les travailleurs handicapés, notamment des outils technologiques adaptés ou d'assistance, qui s'ajoutent à ceux que le bénéficiaire aurait supportés s'il avait employé des travailleurs ne souffrant pas d'un handicap </w:t>
      </w:r>
    </w:p>
    <w:p w14:paraId="48B02B79" w14:textId="6F7456B1" w:rsidR="00D42AC6" w:rsidRDefault="00D42AC6" w:rsidP="00D42AC6">
      <w:pPr>
        <w:pStyle w:val="Paragraphedeliste"/>
        <w:numPr>
          <w:ilvl w:val="0"/>
          <w:numId w:val="25"/>
        </w:numPr>
        <w:jc w:val="both"/>
      </w:pPr>
      <w:r>
        <w:t>L</w:t>
      </w:r>
      <w:r w:rsidRPr="0081176E">
        <w:t>es coûts de la construction, de l'installation ou de la modernisation des unités de production de l'entreprise concernée</w:t>
      </w:r>
      <w:r w:rsidR="00B0047D">
        <w:t xml:space="preserve"> (machine</w:t>
      </w:r>
      <w:r w:rsidR="00B0047D" w:rsidRPr="0081176E">
        <w:t>,</w:t>
      </w:r>
      <w:r w:rsidR="00B0047D">
        <w:t xml:space="preserve"> outils, lignes de production,</w:t>
      </w:r>
      <w:r w:rsidR="0040625B">
        <w:t xml:space="preserve"> mais sont exclus les coûts liés à l</w:t>
      </w:r>
      <w:r w:rsidR="00B0047D">
        <w:t>’immobilier)</w:t>
      </w:r>
      <w:r w:rsidRPr="0081176E">
        <w:t xml:space="preserve"> </w:t>
      </w:r>
    </w:p>
    <w:p w14:paraId="1290ACA4" w14:textId="617B3F5E" w:rsidR="00B0047D" w:rsidRDefault="00D42AC6" w:rsidP="00D42AC6">
      <w:pPr>
        <w:jc w:val="both"/>
      </w:pPr>
      <w:r w:rsidRPr="004B4583">
        <w:t>L'aide maximale apportée à l'entreprise adaptée dans ce cadre</w:t>
      </w:r>
      <w:r>
        <w:t xml:space="preserve"> ne</w:t>
      </w:r>
      <w:r w:rsidRPr="004B4583">
        <w:t xml:space="preserve"> peut pas excéder </w:t>
      </w:r>
      <w:r w:rsidRPr="00057A9F">
        <w:t>100</w:t>
      </w:r>
      <w:r w:rsidRPr="00901B41">
        <w:t xml:space="preserve"> %</w:t>
      </w:r>
      <w:r w:rsidRPr="004B4583">
        <w:t xml:space="preserve"> des coûts admissibles (Cf. </w:t>
      </w:r>
      <w:r>
        <w:t>supra</w:t>
      </w:r>
      <w:r w:rsidRPr="004B4583">
        <w:t xml:space="preserve">). </w:t>
      </w:r>
      <w:r>
        <w:t xml:space="preserve"> La participation de l’Etat est plafonnée à </w:t>
      </w:r>
      <w:r w:rsidR="00B0047D">
        <w:t xml:space="preserve">20 </w:t>
      </w:r>
      <w:r>
        <w:t>% du coût du projet sans pouvoir dépasser</w:t>
      </w:r>
      <w:r w:rsidR="00B0047D">
        <w:t> :</w:t>
      </w:r>
    </w:p>
    <w:p w14:paraId="58925B3A" w14:textId="503AD65C" w:rsidR="00B0047D" w:rsidRDefault="00D42AC6" w:rsidP="00057A9F">
      <w:pPr>
        <w:pStyle w:val="Paragraphedeliste"/>
        <w:numPr>
          <w:ilvl w:val="0"/>
          <w:numId w:val="28"/>
        </w:numPr>
        <w:jc w:val="both"/>
      </w:pPr>
      <w:r w:rsidRPr="00057A9F">
        <w:t>30 000€</w:t>
      </w:r>
      <w:r>
        <w:t xml:space="preserve"> maximum pour les coûts mentionnés au a) </w:t>
      </w:r>
    </w:p>
    <w:p w14:paraId="76786A5A" w14:textId="2CC8A47C" w:rsidR="00B0047D" w:rsidRDefault="00D42AC6" w:rsidP="00057A9F">
      <w:pPr>
        <w:pStyle w:val="Paragraphedeliste"/>
        <w:numPr>
          <w:ilvl w:val="0"/>
          <w:numId w:val="28"/>
        </w:numPr>
        <w:jc w:val="both"/>
      </w:pPr>
      <w:r w:rsidRPr="00057A9F">
        <w:t>100 000€</w:t>
      </w:r>
      <w:r w:rsidRPr="00257FAF">
        <w:t xml:space="preserve"> maximum pour les coûts mentionnés au </w:t>
      </w:r>
      <w:r>
        <w:t>b</w:t>
      </w:r>
      <w:r w:rsidRPr="00257FAF">
        <w:t>)</w:t>
      </w:r>
      <w:r>
        <w:t xml:space="preserve"> </w:t>
      </w:r>
    </w:p>
    <w:p w14:paraId="2980AFB4" w14:textId="747BC782" w:rsidR="00D42AC6" w:rsidRPr="004B4583" w:rsidRDefault="00D42AC6" w:rsidP="00B0047D">
      <w:pPr>
        <w:jc w:val="both"/>
      </w:pPr>
      <w:r w:rsidRPr="004B4583">
        <w:t xml:space="preserve">Par conséquent, le montage de ces projets implique que l’entreprise recherche des financements complémentaires </w:t>
      </w:r>
      <w:r>
        <w:t xml:space="preserve">privés </w:t>
      </w:r>
      <w:r w:rsidRPr="004B4583">
        <w:t>(autofinancement, fondation par exemple)</w:t>
      </w:r>
      <w:r>
        <w:t xml:space="preserve"> et /ou publics</w:t>
      </w:r>
      <w:r w:rsidRPr="004B4583">
        <w:t>.</w:t>
      </w:r>
      <w:r w:rsidR="00596CED">
        <w:t xml:space="preserve">  La mise en œuvre de ces aides doivent conduire</w:t>
      </w:r>
      <w:r w:rsidR="00901B41">
        <w:t>,</w:t>
      </w:r>
      <w:r w:rsidR="00596CED">
        <w:t xml:space="preserve"> s’agissant des investissements de production ou de </w:t>
      </w:r>
      <w:r w:rsidR="0040625B">
        <w:t>diversification,</w:t>
      </w:r>
      <w:r w:rsidR="00901B41">
        <w:t xml:space="preserve"> à</w:t>
      </w:r>
      <w:r w:rsidR="00596CED">
        <w:t xml:space="preserve"> s’assurer qu’ils s’inscrivent également dans une stratégie de diversificati</w:t>
      </w:r>
      <w:r w:rsidR="00901B41">
        <w:t xml:space="preserve">on des donneurs d’ordre </w:t>
      </w:r>
      <w:r w:rsidR="00596CED">
        <w:t>afin d’éviter les risques de dépendances économiques.</w:t>
      </w:r>
    </w:p>
    <w:p w14:paraId="75966D57" w14:textId="012EB661" w:rsidR="00901B41" w:rsidRPr="00057A9F" w:rsidRDefault="00901B41" w:rsidP="00057A9F">
      <w:pPr>
        <w:pStyle w:val="Paragraphedeliste"/>
        <w:numPr>
          <w:ilvl w:val="2"/>
          <w:numId w:val="23"/>
        </w:numPr>
        <w:jc w:val="both"/>
        <w:rPr>
          <w:b/>
          <w:bCs/>
          <w:iCs/>
        </w:rPr>
      </w:pPr>
      <w:r w:rsidRPr="00057A9F">
        <w:rPr>
          <w:b/>
          <w:bCs/>
          <w:iCs/>
        </w:rPr>
        <w:t>Pour les aides aux services de conseil en faveur des PME</w:t>
      </w:r>
      <w:r>
        <w:rPr>
          <w:rStyle w:val="Appelnotedebasdep"/>
          <w:b/>
          <w:bCs/>
          <w:iCs/>
        </w:rPr>
        <w:footnoteReference w:id="6"/>
      </w:r>
      <w:r w:rsidRPr="00057A9F">
        <w:rPr>
          <w:b/>
          <w:bCs/>
          <w:iCs/>
        </w:rPr>
        <w:t>, l’intensité maximale d’aide ne peut excéder 50 % des coûts admissibles.</w:t>
      </w:r>
    </w:p>
    <w:p w14:paraId="26ED8C1B" w14:textId="77777777" w:rsidR="00901B41" w:rsidRDefault="00901B41" w:rsidP="00901B41">
      <w:pPr>
        <w:jc w:val="both"/>
        <w:rPr>
          <w:bCs/>
          <w:iCs/>
        </w:rPr>
      </w:pPr>
      <w:r w:rsidRPr="0022110C">
        <w:rPr>
          <w:bCs/>
          <w:iCs/>
        </w:rPr>
        <w:t>Les coûts admissibles sont les coûts des services de conseil fournis par des conseillers extérieurs. Les</w:t>
      </w:r>
      <w:r>
        <w:rPr>
          <w:bCs/>
          <w:iCs/>
        </w:rPr>
        <w:t xml:space="preserve"> </w:t>
      </w:r>
      <w:r w:rsidRPr="0022110C">
        <w:rPr>
          <w:bCs/>
          <w:iCs/>
        </w:rPr>
        <w:t>services de conseil ne doivent pas constituer une activité permanente ou périodique et doivent être sans</w:t>
      </w:r>
      <w:r>
        <w:rPr>
          <w:bCs/>
          <w:iCs/>
        </w:rPr>
        <w:t xml:space="preserve"> </w:t>
      </w:r>
      <w:r w:rsidRPr="0022110C">
        <w:rPr>
          <w:bCs/>
          <w:iCs/>
        </w:rPr>
        <w:t>rapport avec les dépenses de fonctionnement normales de l'entreprise, telles que les services réguliers</w:t>
      </w:r>
      <w:r>
        <w:rPr>
          <w:bCs/>
          <w:iCs/>
        </w:rPr>
        <w:t xml:space="preserve"> </w:t>
      </w:r>
      <w:r w:rsidRPr="0022110C">
        <w:rPr>
          <w:bCs/>
          <w:iCs/>
        </w:rPr>
        <w:t>de conseil fiscal ou juridique, ou la publicité.</w:t>
      </w:r>
      <w:r w:rsidRPr="0022110C" w:rsidDel="005B72CE">
        <w:rPr>
          <w:bCs/>
          <w:iCs/>
        </w:rPr>
        <w:t xml:space="preserve"> </w:t>
      </w:r>
    </w:p>
    <w:p w14:paraId="0224B810" w14:textId="77777777" w:rsidR="00901B41" w:rsidRDefault="00901B41" w:rsidP="00901B41">
      <w:pPr>
        <w:jc w:val="both"/>
        <w:rPr>
          <w:bCs/>
          <w:iCs/>
        </w:rPr>
      </w:pPr>
      <w:r w:rsidRPr="00BE36FA">
        <w:rPr>
          <w:bCs/>
          <w:iCs/>
        </w:rPr>
        <w:t>Afin de s’assurer que les intensités maximales d’aide sont</w:t>
      </w:r>
      <w:r>
        <w:rPr>
          <w:bCs/>
          <w:iCs/>
        </w:rPr>
        <w:t xml:space="preserve"> </w:t>
      </w:r>
      <w:r w:rsidRPr="00BE36FA">
        <w:rPr>
          <w:bCs/>
          <w:iCs/>
        </w:rPr>
        <w:t>respectées, il convient de tenir compte du montant total d'aides publiques accordées en faveur de</w:t>
      </w:r>
      <w:r>
        <w:rPr>
          <w:bCs/>
          <w:iCs/>
        </w:rPr>
        <w:t xml:space="preserve"> </w:t>
      </w:r>
      <w:r w:rsidRPr="00BE36FA">
        <w:rPr>
          <w:bCs/>
          <w:iCs/>
        </w:rPr>
        <w:t>l'activité ou du projet considéré, que ces aides proviennent de sources locales, régionales, nationales</w:t>
      </w:r>
      <w:r>
        <w:rPr>
          <w:bCs/>
          <w:iCs/>
        </w:rPr>
        <w:t xml:space="preserve"> </w:t>
      </w:r>
      <w:r w:rsidRPr="00BE36FA">
        <w:rPr>
          <w:bCs/>
          <w:iCs/>
        </w:rPr>
        <w:t>ou européennes.</w:t>
      </w:r>
      <w:r w:rsidRPr="00BE36FA" w:rsidDel="005B72CE">
        <w:rPr>
          <w:bCs/>
          <w:iCs/>
        </w:rPr>
        <w:t xml:space="preserve"> </w:t>
      </w:r>
    </w:p>
    <w:p w14:paraId="4EC2D8EB" w14:textId="61C5AF9F" w:rsidR="00354854" w:rsidRPr="0023697D" w:rsidRDefault="00D76D13" w:rsidP="00057A9F">
      <w:pPr>
        <w:pStyle w:val="Paragraphedeliste"/>
        <w:numPr>
          <w:ilvl w:val="2"/>
          <w:numId w:val="23"/>
        </w:numPr>
        <w:jc w:val="both"/>
        <w:rPr>
          <w:b/>
          <w:bCs/>
          <w:iCs/>
        </w:rPr>
      </w:pPr>
      <w:r w:rsidRPr="00D2333F">
        <w:rPr>
          <w:b/>
          <w:bCs/>
          <w:iCs/>
        </w:rPr>
        <w:t xml:space="preserve">Pour les aides </w:t>
      </w:r>
      <w:r w:rsidR="00F07EDC" w:rsidRPr="00D2333F">
        <w:rPr>
          <w:b/>
          <w:bCs/>
          <w:iCs/>
        </w:rPr>
        <w:t>relatives</w:t>
      </w:r>
      <w:r w:rsidR="00282675" w:rsidRPr="00D2333F">
        <w:rPr>
          <w:b/>
          <w:bCs/>
          <w:iCs/>
        </w:rPr>
        <w:t xml:space="preserve"> à l’aide à l’investissement des </w:t>
      </w:r>
      <w:r w:rsidR="00A72E2A" w:rsidRPr="00D2333F">
        <w:rPr>
          <w:b/>
          <w:bCs/>
          <w:iCs/>
        </w:rPr>
        <w:t>PME</w:t>
      </w:r>
      <w:r w:rsidR="006C6895" w:rsidRPr="0023697D">
        <w:rPr>
          <w:b/>
          <w:bCs/>
          <w:iCs/>
        </w:rPr>
        <w:t>, l’intensité</w:t>
      </w:r>
      <w:r w:rsidRPr="0023697D">
        <w:rPr>
          <w:b/>
          <w:bCs/>
          <w:iCs/>
        </w:rPr>
        <w:t xml:space="preserve"> </w:t>
      </w:r>
      <w:r w:rsidR="006C6895" w:rsidRPr="0023697D">
        <w:rPr>
          <w:b/>
          <w:bCs/>
          <w:iCs/>
        </w:rPr>
        <w:t xml:space="preserve">maximale </w:t>
      </w:r>
      <w:r w:rsidRPr="0023697D">
        <w:rPr>
          <w:b/>
          <w:bCs/>
          <w:iCs/>
        </w:rPr>
        <w:t>d’aide n</w:t>
      </w:r>
      <w:r w:rsidR="006C6895" w:rsidRPr="0023697D">
        <w:rPr>
          <w:b/>
          <w:bCs/>
          <w:iCs/>
        </w:rPr>
        <w:t xml:space="preserve">e peut excéder </w:t>
      </w:r>
      <w:r w:rsidRPr="0023697D">
        <w:rPr>
          <w:b/>
          <w:bCs/>
          <w:iCs/>
        </w:rPr>
        <w:t xml:space="preserve"> </w:t>
      </w:r>
      <w:r w:rsidR="00354854" w:rsidRPr="0023697D">
        <w:rPr>
          <w:b/>
          <w:bCs/>
          <w:iCs/>
        </w:rPr>
        <w:t xml:space="preserve"> : </w:t>
      </w:r>
    </w:p>
    <w:p w14:paraId="24088E28" w14:textId="317CBAE2" w:rsidR="00354854" w:rsidRPr="0023697D" w:rsidRDefault="00D76D13" w:rsidP="00057A9F">
      <w:pPr>
        <w:pStyle w:val="Paragraphedeliste"/>
        <w:numPr>
          <w:ilvl w:val="0"/>
          <w:numId w:val="21"/>
        </w:numPr>
        <w:jc w:val="both"/>
        <w:rPr>
          <w:b/>
          <w:bCs/>
          <w:iCs/>
        </w:rPr>
      </w:pPr>
      <w:r w:rsidRPr="00D2333F">
        <w:rPr>
          <w:b/>
          <w:bCs/>
          <w:iCs/>
        </w:rPr>
        <w:t>20 % des coûts admissibles pour les petites entreprises</w:t>
      </w:r>
      <w:r w:rsidR="00282675" w:rsidRPr="00D2333F">
        <w:rPr>
          <w:b/>
          <w:bCs/>
          <w:iCs/>
        </w:rPr>
        <w:t xml:space="preserve"> (</w:t>
      </w:r>
      <w:r w:rsidR="00282675" w:rsidRPr="0023697D">
        <w:rPr>
          <w:b/>
          <w:bCs/>
          <w:iCs/>
        </w:rPr>
        <w:t xml:space="preserve">moins de 50 </w:t>
      </w:r>
      <w:r w:rsidR="0033377D" w:rsidRPr="0023697D">
        <w:rPr>
          <w:b/>
          <w:bCs/>
          <w:iCs/>
        </w:rPr>
        <w:t>salariés et</w:t>
      </w:r>
      <w:r w:rsidR="00354854" w:rsidRPr="0023697D">
        <w:rPr>
          <w:b/>
          <w:bCs/>
          <w:iCs/>
        </w:rPr>
        <w:t xml:space="preserve"> dont</w:t>
      </w:r>
      <w:r w:rsidR="0033377D" w:rsidRPr="0023697D">
        <w:rPr>
          <w:b/>
          <w:bCs/>
          <w:iCs/>
        </w:rPr>
        <w:t xml:space="preserve"> de chiffre d’affaire</w:t>
      </w:r>
      <w:r w:rsidR="00354854" w:rsidRPr="0023697D">
        <w:rPr>
          <w:b/>
          <w:bCs/>
          <w:iCs/>
        </w:rPr>
        <w:t xml:space="preserve"> annuel ou le total du bilan annuel ne doit pas excéder   10M€</w:t>
      </w:r>
      <w:r w:rsidR="0033377D" w:rsidRPr="0023697D">
        <w:rPr>
          <w:b/>
          <w:bCs/>
          <w:iCs/>
        </w:rPr>
        <w:t>)</w:t>
      </w:r>
      <w:r w:rsidRPr="0023697D">
        <w:rPr>
          <w:b/>
          <w:bCs/>
          <w:iCs/>
        </w:rPr>
        <w:t xml:space="preserve"> </w:t>
      </w:r>
    </w:p>
    <w:p w14:paraId="774265C0" w14:textId="27B277A8" w:rsidR="00D76D13" w:rsidRPr="0023697D" w:rsidRDefault="00D76D13" w:rsidP="00057A9F">
      <w:pPr>
        <w:pStyle w:val="Paragraphedeliste"/>
        <w:numPr>
          <w:ilvl w:val="0"/>
          <w:numId w:val="21"/>
        </w:numPr>
        <w:jc w:val="both"/>
        <w:rPr>
          <w:b/>
          <w:bCs/>
          <w:iCs/>
        </w:rPr>
      </w:pPr>
      <w:r w:rsidRPr="0023697D">
        <w:rPr>
          <w:b/>
          <w:bCs/>
          <w:iCs/>
        </w:rPr>
        <w:t xml:space="preserve">10 % </w:t>
      </w:r>
      <w:r w:rsidR="00354854" w:rsidRPr="0023697D">
        <w:rPr>
          <w:b/>
          <w:bCs/>
          <w:iCs/>
        </w:rPr>
        <w:t xml:space="preserve">des coûts admissibles </w:t>
      </w:r>
      <w:r w:rsidRPr="0023697D">
        <w:rPr>
          <w:b/>
          <w:bCs/>
          <w:iCs/>
        </w:rPr>
        <w:t>pour les moyennes entreprises</w:t>
      </w:r>
      <w:r w:rsidR="0033377D" w:rsidRPr="0023697D">
        <w:rPr>
          <w:b/>
          <w:bCs/>
          <w:iCs/>
        </w:rPr>
        <w:t xml:space="preserve"> (de 50 à 249 salariés et</w:t>
      </w:r>
      <w:r w:rsidR="00354854" w:rsidRPr="0023697D">
        <w:rPr>
          <w:b/>
          <w:bCs/>
          <w:iCs/>
        </w:rPr>
        <w:t xml:space="preserve"> dont de chiffre d’affaire annuel ne doit pas excéder 50 M€ ou le total du bilan annuel ne doit pas </w:t>
      </w:r>
      <w:r w:rsidR="00D2333F" w:rsidRPr="0023697D">
        <w:rPr>
          <w:b/>
          <w:bCs/>
          <w:iCs/>
        </w:rPr>
        <w:t>excéder 43</w:t>
      </w:r>
      <w:r w:rsidR="0033377D" w:rsidRPr="0023697D">
        <w:rPr>
          <w:b/>
          <w:bCs/>
          <w:iCs/>
        </w:rPr>
        <w:t xml:space="preserve"> M€)</w:t>
      </w:r>
      <w:r w:rsidRPr="0023697D">
        <w:rPr>
          <w:b/>
          <w:bCs/>
          <w:iCs/>
        </w:rPr>
        <w:t>.</w:t>
      </w:r>
      <w:r w:rsidRPr="0023697D" w:rsidDel="005B72CE">
        <w:rPr>
          <w:b/>
          <w:bCs/>
          <w:iCs/>
        </w:rPr>
        <w:t xml:space="preserve"> </w:t>
      </w:r>
    </w:p>
    <w:p w14:paraId="4946730E" w14:textId="26B5A120" w:rsidR="006C6895" w:rsidRPr="0023697D" w:rsidRDefault="006C6895" w:rsidP="00057A9F">
      <w:pPr>
        <w:spacing w:after="0" w:line="240" w:lineRule="auto"/>
        <w:ind w:left="284"/>
        <w:jc w:val="both"/>
        <w:rPr>
          <w:bCs/>
          <w:iCs/>
        </w:rPr>
      </w:pPr>
      <w:r w:rsidRPr="0023697D">
        <w:rPr>
          <w:bCs/>
          <w:iCs/>
        </w:rPr>
        <w:t>Rappelons qu’un</w:t>
      </w:r>
      <w:r w:rsidR="00901B41" w:rsidRPr="0023697D">
        <w:rPr>
          <w:bCs/>
          <w:iCs/>
        </w:rPr>
        <w:t>e</w:t>
      </w:r>
      <w:r w:rsidRPr="0023697D">
        <w:rPr>
          <w:bCs/>
          <w:iCs/>
        </w:rPr>
        <w:t xml:space="preserve"> PME est, selon la </w:t>
      </w:r>
      <w:r w:rsidRPr="0023697D">
        <w:rPr>
          <w:b/>
          <w:bCs/>
          <w:iCs/>
        </w:rPr>
        <w:t>définition européenne</w:t>
      </w:r>
      <w:r w:rsidRPr="0023697D">
        <w:rPr>
          <w:bCs/>
          <w:iCs/>
        </w:rPr>
        <w:t>, une entreprise qui occupe moins de 250 personnes et le chiffre d'affaires annuel ne doit pas excéder 50 millions d'euros, ou le total du bilan ne doit pas excéder 43 millions d'euros.</w:t>
      </w:r>
    </w:p>
    <w:p w14:paraId="2EB8C71D" w14:textId="3AB2649A" w:rsidR="00062DDE" w:rsidRPr="00D2333F" w:rsidRDefault="00062DDE" w:rsidP="00062DDE">
      <w:pPr>
        <w:spacing w:after="0" w:line="240" w:lineRule="auto"/>
        <w:ind w:left="284"/>
        <w:jc w:val="both"/>
        <w:rPr>
          <w:bCs/>
          <w:iCs/>
        </w:rPr>
      </w:pPr>
      <w:r w:rsidRPr="0023697D">
        <w:rPr>
          <w:bCs/>
          <w:iCs/>
        </w:rPr>
        <w:t>Selon l’annexe II du RGEC SA 40453 -Les données d’effectif et les données financières retenues sont celles du dernier exercice comptable clos. Le montant du chiffre d'affaires retenu est calculé hors taxe sur la valeur ajoutée (TVA)</w:t>
      </w:r>
      <w:r w:rsidR="00B90D8F" w:rsidRPr="0023697D">
        <w:rPr>
          <w:bCs/>
          <w:iCs/>
        </w:rPr>
        <w:t>.</w:t>
      </w:r>
      <w:r w:rsidR="00B90D8F" w:rsidRPr="00D2333F">
        <w:rPr>
          <w:bCs/>
          <w:iCs/>
        </w:rPr>
        <w:t xml:space="preserve"> </w:t>
      </w:r>
    </w:p>
    <w:p w14:paraId="01BB7403" w14:textId="77777777" w:rsidR="005C10D7" w:rsidRPr="0023697D" w:rsidRDefault="005C10D7" w:rsidP="00062DDE">
      <w:pPr>
        <w:spacing w:after="0" w:line="240" w:lineRule="auto"/>
        <w:ind w:left="284"/>
        <w:jc w:val="both"/>
        <w:rPr>
          <w:bCs/>
          <w:iCs/>
        </w:rPr>
      </w:pPr>
    </w:p>
    <w:p w14:paraId="0F5E4DB7" w14:textId="77777777" w:rsidR="006C6895" w:rsidRDefault="00D76D13" w:rsidP="008D1755">
      <w:pPr>
        <w:spacing w:after="0" w:line="240" w:lineRule="auto"/>
        <w:ind w:left="284"/>
        <w:jc w:val="both"/>
        <w:rPr>
          <w:bCs/>
          <w:iCs/>
        </w:rPr>
      </w:pPr>
      <w:r w:rsidRPr="0023697D">
        <w:rPr>
          <w:b/>
          <w:bCs/>
          <w:iCs/>
        </w:rPr>
        <w:t>L</w:t>
      </w:r>
      <w:r w:rsidR="006C6895" w:rsidRPr="0023697D">
        <w:rPr>
          <w:b/>
          <w:bCs/>
          <w:iCs/>
        </w:rPr>
        <w:t>’assiette des aides relatives à l’aide à l’investissement des PME</w:t>
      </w:r>
      <w:r w:rsidR="006C6895" w:rsidRPr="0023697D">
        <w:rPr>
          <w:bCs/>
          <w:iCs/>
        </w:rPr>
        <w:t> :</w:t>
      </w:r>
      <w:r w:rsidR="006C6895">
        <w:rPr>
          <w:bCs/>
          <w:iCs/>
        </w:rPr>
        <w:t xml:space="preserve"> </w:t>
      </w:r>
    </w:p>
    <w:p w14:paraId="2FD828EB" w14:textId="77777777" w:rsidR="006C6895" w:rsidRDefault="006C6895" w:rsidP="008D1755">
      <w:pPr>
        <w:spacing w:after="0" w:line="240" w:lineRule="auto"/>
        <w:ind w:left="284"/>
        <w:jc w:val="both"/>
        <w:rPr>
          <w:bCs/>
          <w:iCs/>
        </w:rPr>
      </w:pPr>
    </w:p>
    <w:p w14:paraId="1CC0993F" w14:textId="33411EB8" w:rsidR="00D76D13" w:rsidRDefault="006C6895" w:rsidP="00057A9F">
      <w:pPr>
        <w:spacing w:after="0" w:line="240" w:lineRule="auto"/>
        <w:jc w:val="both"/>
        <w:rPr>
          <w:bCs/>
          <w:iCs/>
        </w:rPr>
      </w:pPr>
      <w:r w:rsidRPr="00057A9F">
        <w:rPr>
          <w:bCs/>
          <w:iCs/>
          <w:u w:val="single"/>
        </w:rPr>
        <w:t>L</w:t>
      </w:r>
      <w:r w:rsidR="00D76D13" w:rsidRPr="00057A9F">
        <w:rPr>
          <w:bCs/>
          <w:iCs/>
          <w:u w:val="single"/>
        </w:rPr>
        <w:t xml:space="preserve">es coûts admissibles sont </w:t>
      </w:r>
      <w:r w:rsidR="00D76D13" w:rsidRPr="00057A9F">
        <w:rPr>
          <w:b/>
          <w:bCs/>
          <w:iCs/>
        </w:rPr>
        <w:t>les coûts des investissements dans des actifs corporels</w:t>
      </w:r>
      <w:r w:rsidR="00062DDE">
        <w:rPr>
          <w:bCs/>
          <w:iCs/>
        </w:rPr>
        <w:t xml:space="preserve"> (</w:t>
      </w:r>
      <w:r w:rsidR="00062DDE" w:rsidRPr="00D157F3">
        <w:t xml:space="preserve">terrains, bâtiments, machines et </w:t>
      </w:r>
      <w:r w:rsidR="00D2333F" w:rsidRPr="00D157F3">
        <w:t>équipements</w:t>
      </w:r>
      <w:r w:rsidR="00D2333F">
        <w:rPr>
          <w:bCs/>
          <w:iCs/>
        </w:rPr>
        <w:t>) et</w:t>
      </w:r>
      <w:r w:rsidR="00D76D13" w:rsidRPr="00057A9F">
        <w:rPr>
          <w:b/>
          <w:bCs/>
          <w:iCs/>
        </w:rPr>
        <w:t xml:space="preserve"> incorporels</w:t>
      </w:r>
      <w:r w:rsidR="00062DDE">
        <w:rPr>
          <w:bCs/>
          <w:iCs/>
        </w:rPr>
        <w:t xml:space="preserve"> (</w:t>
      </w:r>
      <w:r w:rsidR="00062DDE" w:rsidRPr="00062DDE">
        <w:rPr>
          <w:bCs/>
          <w:iCs/>
        </w:rPr>
        <w:t>les brevets, les licences</w:t>
      </w:r>
      <w:r w:rsidR="00062DDE">
        <w:rPr>
          <w:bCs/>
          <w:iCs/>
        </w:rPr>
        <w:t>)</w:t>
      </w:r>
      <w:r w:rsidR="00D76D13" w:rsidRPr="00D76D13">
        <w:rPr>
          <w:bCs/>
          <w:iCs/>
        </w:rPr>
        <w:t>;</w:t>
      </w:r>
    </w:p>
    <w:p w14:paraId="23C3D803" w14:textId="77777777" w:rsidR="00062DDE" w:rsidRDefault="00062DDE" w:rsidP="00057A9F">
      <w:pPr>
        <w:autoSpaceDE w:val="0"/>
        <w:autoSpaceDN w:val="0"/>
        <w:adjustRightInd w:val="0"/>
        <w:spacing w:after="0" w:line="240" w:lineRule="auto"/>
        <w:jc w:val="both"/>
        <w:rPr>
          <w:bCs/>
          <w:iCs/>
        </w:rPr>
      </w:pPr>
    </w:p>
    <w:p w14:paraId="2B42A190" w14:textId="2EA23156" w:rsidR="00062DDE" w:rsidRDefault="00062DDE" w:rsidP="00057A9F">
      <w:pPr>
        <w:autoSpaceDE w:val="0"/>
        <w:autoSpaceDN w:val="0"/>
        <w:adjustRightInd w:val="0"/>
        <w:spacing w:after="0" w:line="240" w:lineRule="auto"/>
        <w:jc w:val="both"/>
        <w:rPr>
          <w:bCs/>
          <w:iCs/>
        </w:rPr>
      </w:pPr>
      <w:r>
        <w:rPr>
          <w:bCs/>
          <w:iCs/>
        </w:rPr>
        <w:t>Précisons que p</w:t>
      </w:r>
      <w:r w:rsidRPr="00282675">
        <w:rPr>
          <w:bCs/>
          <w:iCs/>
        </w:rPr>
        <w:t xml:space="preserve">our être considérés comme des coûts admissibles, </w:t>
      </w:r>
      <w:r w:rsidRPr="00057A9F">
        <w:rPr>
          <w:bCs/>
          <w:iCs/>
          <w:u w:val="single"/>
        </w:rPr>
        <w:t>les actifs incorporels</w:t>
      </w:r>
      <w:r>
        <w:rPr>
          <w:bCs/>
          <w:iCs/>
        </w:rPr>
        <w:t xml:space="preserve"> </w:t>
      </w:r>
      <w:r w:rsidRPr="00282675">
        <w:rPr>
          <w:bCs/>
          <w:iCs/>
        </w:rPr>
        <w:t>doivent remplir les conditions suivantes :</w:t>
      </w:r>
    </w:p>
    <w:p w14:paraId="363CED2D" w14:textId="77777777" w:rsidR="00062DDE" w:rsidRPr="00282675" w:rsidRDefault="00062DDE" w:rsidP="00057A9F">
      <w:pPr>
        <w:autoSpaceDE w:val="0"/>
        <w:autoSpaceDN w:val="0"/>
        <w:adjustRightInd w:val="0"/>
        <w:spacing w:after="0" w:line="240" w:lineRule="auto"/>
        <w:ind w:left="708"/>
        <w:jc w:val="both"/>
        <w:rPr>
          <w:bCs/>
          <w:iCs/>
        </w:rPr>
      </w:pPr>
      <w:r w:rsidRPr="00282675">
        <w:rPr>
          <w:bCs/>
          <w:iCs/>
        </w:rPr>
        <w:t>a) ils sont exploités exclusivement dans l'établissement bénéficiaire de l'aide ;</w:t>
      </w:r>
    </w:p>
    <w:p w14:paraId="5A63A559" w14:textId="77777777" w:rsidR="00062DDE" w:rsidRPr="00282675" w:rsidRDefault="00062DDE" w:rsidP="00057A9F">
      <w:pPr>
        <w:autoSpaceDE w:val="0"/>
        <w:autoSpaceDN w:val="0"/>
        <w:adjustRightInd w:val="0"/>
        <w:spacing w:after="0" w:line="240" w:lineRule="auto"/>
        <w:ind w:left="708"/>
        <w:jc w:val="both"/>
        <w:rPr>
          <w:bCs/>
          <w:iCs/>
        </w:rPr>
      </w:pPr>
      <w:r w:rsidRPr="00282675">
        <w:rPr>
          <w:bCs/>
          <w:iCs/>
        </w:rPr>
        <w:t>b) ils sont considérés comme des éléments d'actif amortissables ;</w:t>
      </w:r>
    </w:p>
    <w:p w14:paraId="3BCB248B" w14:textId="48F7CEB5" w:rsidR="00062DDE" w:rsidRPr="00282675" w:rsidRDefault="00062DDE" w:rsidP="00057A9F">
      <w:pPr>
        <w:autoSpaceDE w:val="0"/>
        <w:autoSpaceDN w:val="0"/>
        <w:adjustRightInd w:val="0"/>
        <w:spacing w:after="0" w:line="240" w:lineRule="auto"/>
        <w:ind w:left="708"/>
        <w:jc w:val="both"/>
        <w:rPr>
          <w:bCs/>
          <w:iCs/>
        </w:rPr>
      </w:pPr>
      <w:r w:rsidRPr="00282675">
        <w:rPr>
          <w:bCs/>
          <w:iCs/>
        </w:rPr>
        <w:t xml:space="preserve">c) ils sont acquis aux conditions du marché auprès d'un tiers non lié à </w:t>
      </w:r>
      <w:r w:rsidR="00E237DB" w:rsidRPr="00282675">
        <w:rPr>
          <w:bCs/>
          <w:iCs/>
        </w:rPr>
        <w:t>l’acheteur (</w:t>
      </w:r>
      <w:r w:rsidR="00B90D8F">
        <w:rPr>
          <w:bCs/>
          <w:iCs/>
        </w:rPr>
        <w:t xml:space="preserve">pas </w:t>
      </w:r>
      <w:r w:rsidR="00721153">
        <w:rPr>
          <w:bCs/>
          <w:iCs/>
        </w:rPr>
        <w:t>de prise</w:t>
      </w:r>
      <w:r w:rsidR="00B90D8F">
        <w:rPr>
          <w:bCs/>
          <w:iCs/>
        </w:rPr>
        <w:t xml:space="preserve"> en compte des actifs autoproduits)</w:t>
      </w:r>
      <w:r w:rsidRPr="00282675">
        <w:rPr>
          <w:bCs/>
          <w:iCs/>
        </w:rPr>
        <w:t>;</w:t>
      </w:r>
    </w:p>
    <w:p w14:paraId="7B45C0D5" w14:textId="48B3FCE5" w:rsidR="00062DDE" w:rsidRDefault="00062DDE" w:rsidP="00057A9F">
      <w:pPr>
        <w:autoSpaceDE w:val="0"/>
        <w:autoSpaceDN w:val="0"/>
        <w:adjustRightInd w:val="0"/>
        <w:spacing w:after="0" w:line="240" w:lineRule="auto"/>
        <w:ind w:left="708"/>
        <w:jc w:val="both"/>
        <w:rPr>
          <w:bCs/>
          <w:iCs/>
        </w:rPr>
      </w:pPr>
      <w:r w:rsidRPr="00282675">
        <w:rPr>
          <w:bCs/>
          <w:iCs/>
        </w:rPr>
        <w:t>d) ils figurent à l'actif de l'entreprise pendant au moins trois ans</w:t>
      </w:r>
      <w:r w:rsidR="00B90D8F">
        <w:rPr>
          <w:bCs/>
          <w:iCs/>
        </w:rPr>
        <w:t xml:space="preserve"> </w:t>
      </w:r>
      <w:r w:rsidR="00E237DB">
        <w:rPr>
          <w:bCs/>
          <w:iCs/>
        </w:rPr>
        <w:t>(hors</w:t>
      </w:r>
      <w:r w:rsidR="00B90D8F">
        <w:rPr>
          <w:bCs/>
          <w:iCs/>
        </w:rPr>
        <w:t xml:space="preserve"> </w:t>
      </w:r>
      <w:r w:rsidR="00E237DB">
        <w:rPr>
          <w:bCs/>
          <w:iCs/>
        </w:rPr>
        <w:t>logiciels</w:t>
      </w:r>
      <w:r w:rsidR="00B90D8F">
        <w:rPr>
          <w:bCs/>
          <w:iCs/>
        </w:rPr>
        <w:t>)</w:t>
      </w:r>
      <w:r w:rsidRPr="00282675">
        <w:rPr>
          <w:bCs/>
          <w:iCs/>
        </w:rPr>
        <w:t>.</w:t>
      </w:r>
    </w:p>
    <w:p w14:paraId="3E03B180" w14:textId="77777777" w:rsidR="00062DDE" w:rsidRPr="00282675" w:rsidRDefault="00062DDE" w:rsidP="00057A9F">
      <w:pPr>
        <w:autoSpaceDE w:val="0"/>
        <w:autoSpaceDN w:val="0"/>
        <w:adjustRightInd w:val="0"/>
        <w:spacing w:after="0" w:line="240" w:lineRule="auto"/>
        <w:ind w:left="708"/>
        <w:jc w:val="both"/>
        <w:rPr>
          <w:bCs/>
          <w:iCs/>
        </w:rPr>
      </w:pPr>
    </w:p>
    <w:p w14:paraId="4413F68D" w14:textId="77777777" w:rsidR="00282675" w:rsidRDefault="00282675" w:rsidP="00405A2C">
      <w:pPr>
        <w:autoSpaceDE w:val="0"/>
        <w:autoSpaceDN w:val="0"/>
        <w:adjustRightInd w:val="0"/>
        <w:spacing w:after="0" w:line="240" w:lineRule="auto"/>
        <w:ind w:left="708"/>
        <w:rPr>
          <w:bCs/>
          <w:iCs/>
        </w:rPr>
      </w:pPr>
    </w:p>
    <w:p w14:paraId="48A90F03" w14:textId="77777777" w:rsidR="008A7814" w:rsidRPr="0023697D" w:rsidRDefault="008A7814" w:rsidP="00057A9F">
      <w:pPr>
        <w:pStyle w:val="Paragraphedeliste"/>
        <w:numPr>
          <w:ilvl w:val="0"/>
          <w:numId w:val="23"/>
        </w:numPr>
        <w:rPr>
          <w:b/>
          <w:bCs/>
          <w:iCs/>
        </w:rPr>
      </w:pPr>
      <w:r w:rsidRPr="0023697D">
        <w:rPr>
          <w:b/>
          <w:bCs/>
          <w:iCs/>
        </w:rPr>
        <w:t>Les règles de cumul </w:t>
      </w:r>
    </w:p>
    <w:p w14:paraId="18B1C0FB" w14:textId="4AE9FE7A" w:rsidR="00BE36FA" w:rsidRDefault="00BE36FA" w:rsidP="005F38BE">
      <w:pPr>
        <w:jc w:val="both"/>
        <w:rPr>
          <w:bCs/>
          <w:iCs/>
        </w:rPr>
      </w:pPr>
      <w:r w:rsidRPr="00BE36FA">
        <w:rPr>
          <w:bCs/>
          <w:iCs/>
        </w:rPr>
        <w:t>Les aides</w:t>
      </w:r>
      <w:r w:rsidR="00F16734">
        <w:rPr>
          <w:bCs/>
          <w:iCs/>
        </w:rPr>
        <w:t xml:space="preserve"> à l’investissement</w:t>
      </w:r>
      <w:r w:rsidRPr="00BE36FA">
        <w:rPr>
          <w:bCs/>
          <w:iCs/>
        </w:rPr>
        <w:t xml:space="preserve"> en faveur des </w:t>
      </w:r>
      <w:r w:rsidR="00D2333F" w:rsidRPr="00BE36FA">
        <w:rPr>
          <w:bCs/>
          <w:iCs/>
        </w:rPr>
        <w:t xml:space="preserve">PME </w:t>
      </w:r>
      <w:r w:rsidR="00D2333F">
        <w:rPr>
          <w:bCs/>
          <w:iCs/>
        </w:rPr>
        <w:t>et</w:t>
      </w:r>
      <w:r w:rsidR="00F16734">
        <w:rPr>
          <w:bCs/>
          <w:iCs/>
        </w:rPr>
        <w:t xml:space="preserve"> les aides </w:t>
      </w:r>
      <w:r w:rsidR="00721153">
        <w:rPr>
          <w:bCs/>
          <w:iCs/>
        </w:rPr>
        <w:t>destinées à</w:t>
      </w:r>
      <w:r w:rsidR="00F16734">
        <w:rPr>
          <w:bCs/>
          <w:iCs/>
        </w:rPr>
        <w:t xml:space="preserve"> </w:t>
      </w:r>
      <w:r w:rsidR="00057A9F">
        <w:rPr>
          <w:bCs/>
          <w:iCs/>
        </w:rPr>
        <w:t>compenser</w:t>
      </w:r>
      <w:r w:rsidR="00F16734">
        <w:rPr>
          <w:bCs/>
          <w:iCs/>
        </w:rPr>
        <w:t xml:space="preserve"> les surcoûts </w:t>
      </w:r>
      <w:r w:rsidR="00721153">
        <w:rPr>
          <w:bCs/>
          <w:iCs/>
        </w:rPr>
        <w:t>liés à</w:t>
      </w:r>
      <w:r w:rsidR="00F16734">
        <w:rPr>
          <w:bCs/>
          <w:iCs/>
        </w:rPr>
        <w:t xml:space="preserve"> l’emploi de travailleurs handicapés </w:t>
      </w:r>
      <w:r w:rsidR="00721153">
        <w:rPr>
          <w:bCs/>
          <w:iCs/>
        </w:rPr>
        <w:t>(aides</w:t>
      </w:r>
      <w:r w:rsidR="00F16734">
        <w:rPr>
          <w:bCs/>
          <w:iCs/>
        </w:rPr>
        <w:t xml:space="preserve"> à l’accompagnement de la modernisation engagées à compter du 1</w:t>
      </w:r>
      <w:r w:rsidR="00F16734" w:rsidRPr="00057A9F">
        <w:rPr>
          <w:bCs/>
          <w:iCs/>
          <w:vertAlign w:val="superscript"/>
        </w:rPr>
        <w:t>er</w:t>
      </w:r>
      <w:r w:rsidR="00F16734">
        <w:rPr>
          <w:bCs/>
          <w:iCs/>
        </w:rPr>
        <w:t xml:space="preserve"> janvier 2019) ne peuvent être </w:t>
      </w:r>
      <w:r w:rsidRPr="00BE36FA">
        <w:rPr>
          <w:bCs/>
          <w:iCs/>
        </w:rPr>
        <w:t>cumulées avec</w:t>
      </w:r>
      <w:r>
        <w:rPr>
          <w:bCs/>
          <w:iCs/>
        </w:rPr>
        <w:t xml:space="preserve"> </w:t>
      </w:r>
      <w:r w:rsidRPr="00BE36FA">
        <w:rPr>
          <w:bCs/>
          <w:iCs/>
        </w:rPr>
        <w:t xml:space="preserve">les aides en faveur des travailleurs handicapés </w:t>
      </w:r>
      <w:r w:rsidR="00F16734">
        <w:rPr>
          <w:bCs/>
          <w:iCs/>
        </w:rPr>
        <w:t xml:space="preserve">lorsqu’ elles portent sur </w:t>
      </w:r>
      <w:r w:rsidRPr="00BE36FA">
        <w:rPr>
          <w:bCs/>
          <w:iCs/>
        </w:rPr>
        <w:t>les mêmes coûts</w:t>
      </w:r>
      <w:r>
        <w:rPr>
          <w:bCs/>
          <w:iCs/>
        </w:rPr>
        <w:t xml:space="preserve"> </w:t>
      </w:r>
      <w:r w:rsidRPr="00BE36FA">
        <w:rPr>
          <w:bCs/>
          <w:iCs/>
        </w:rPr>
        <w:t>admissibles</w:t>
      </w:r>
      <w:r w:rsidR="00F16734">
        <w:rPr>
          <w:bCs/>
          <w:iCs/>
        </w:rPr>
        <w:t>.</w:t>
      </w:r>
      <w:r w:rsidRPr="00BE36FA">
        <w:rPr>
          <w:bCs/>
          <w:iCs/>
        </w:rPr>
        <w:t xml:space="preserve"> </w:t>
      </w:r>
    </w:p>
    <w:p w14:paraId="76451D52" w14:textId="77777777" w:rsidR="00311933" w:rsidRPr="003E278C" w:rsidRDefault="00311933" w:rsidP="005F38BE">
      <w:pPr>
        <w:pStyle w:val="Paragraphedeliste"/>
        <w:numPr>
          <w:ilvl w:val="0"/>
          <w:numId w:val="11"/>
        </w:numPr>
        <w:spacing w:after="0" w:line="240" w:lineRule="auto"/>
        <w:rPr>
          <w:rFonts w:ascii="Arial" w:hAnsi="Arial" w:cs="Arial"/>
          <w:b/>
          <w:color w:val="0070C0"/>
        </w:rPr>
      </w:pPr>
      <w:r w:rsidRPr="003E278C">
        <w:rPr>
          <w:rFonts w:ascii="Arial" w:hAnsi="Arial" w:cs="Arial"/>
          <w:b/>
          <w:color w:val="0070C0"/>
        </w:rPr>
        <w:t xml:space="preserve">Modalités de conventionnement et de paiement </w:t>
      </w:r>
    </w:p>
    <w:p w14:paraId="5482BF36" w14:textId="77777777" w:rsidR="00C128DE" w:rsidRPr="008D1755" w:rsidRDefault="00C128DE" w:rsidP="005F38BE">
      <w:pPr>
        <w:spacing w:after="0" w:line="240" w:lineRule="auto"/>
        <w:rPr>
          <w:b/>
        </w:rPr>
      </w:pPr>
    </w:p>
    <w:p w14:paraId="36EE4E2A" w14:textId="77777777" w:rsidR="006D5F6E" w:rsidRDefault="000C5F55" w:rsidP="003A2401">
      <w:pPr>
        <w:spacing w:after="0" w:line="240" w:lineRule="auto"/>
        <w:rPr>
          <w:b/>
          <w:sz w:val="24"/>
          <w:szCs w:val="24"/>
        </w:rPr>
      </w:pPr>
      <w:r w:rsidRPr="003E278C">
        <w:rPr>
          <w:b/>
          <w:sz w:val="24"/>
          <w:szCs w:val="24"/>
        </w:rPr>
        <w:t xml:space="preserve">4.1. </w:t>
      </w:r>
      <w:r w:rsidR="006D5F6E" w:rsidRPr="003E278C">
        <w:rPr>
          <w:b/>
          <w:sz w:val="24"/>
          <w:szCs w:val="24"/>
        </w:rPr>
        <w:t>Instruction de la demande</w:t>
      </w:r>
    </w:p>
    <w:p w14:paraId="6F396909" w14:textId="77777777" w:rsidR="00B31E44" w:rsidRPr="008D1755" w:rsidRDefault="00B31E44" w:rsidP="005F38BE">
      <w:pPr>
        <w:jc w:val="both"/>
      </w:pPr>
      <w:r w:rsidRPr="008D1755">
        <w:t>L’entreprise adaptée présent</w:t>
      </w:r>
      <w:r w:rsidR="00D55C3C">
        <w:t>e</w:t>
      </w:r>
      <w:r w:rsidRPr="008D1755">
        <w:t xml:space="preserve"> une demande d'aide écrite au préfet de </w:t>
      </w:r>
      <w:r w:rsidR="0086256B" w:rsidRPr="008D1755">
        <w:t xml:space="preserve">la </w:t>
      </w:r>
      <w:r w:rsidRPr="008D1755">
        <w:t xml:space="preserve">région </w:t>
      </w:r>
      <w:r w:rsidR="006A2552">
        <w:t>(</w:t>
      </w:r>
      <w:r w:rsidR="006A2552" w:rsidRPr="008D1755">
        <w:t>Direccte</w:t>
      </w:r>
      <w:r w:rsidR="006A2552">
        <w:t>)</w:t>
      </w:r>
      <w:r w:rsidRPr="008D1755">
        <w:t xml:space="preserve">, préalablement à la mise en </w:t>
      </w:r>
      <w:r w:rsidR="0086256B" w:rsidRPr="008D1755">
        <w:t>œuvre</w:t>
      </w:r>
      <w:r w:rsidRPr="008D1755">
        <w:t xml:space="preserve"> du </w:t>
      </w:r>
      <w:r w:rsidR="00DD00DA" w:rsidRPr="008D1755">
        <w:t>projet</w:t>
      </w:r>
      <w:r w:rsidR="00DD00DA">
        <w:t>. La</w:t>
      </w:r>
      <w:r w:rsidRPr="008D1755">
        <w:t xml:space="preserve"> demande d'aide</w:t>
      </w:r>
      <w:r w:rsidR="00702047">
        <w:t xml:space="preserve"> (</w:t>
      </w:r>
      <w:r w:rsidR="00702047" w:rsidRPr="008D1755">
        <w:t>cf.</w:t>
      </w:r>
      <w:r w:rsidR="00702047">
        <w:t xml:space="preserve"> modèle de dossier de demande en annexe)</w:t>
      </w:r>
      <w:r w:rsidR="00702047" w:rsidRPr="008D1755">
        <w:t xml:space="preserve"> </w:t>
      </w:r>
      <w:r w:rsidRPr="008D1755">
        <w:t>contient au moins les informations suivantes :</w:t>
      </w:r>
    </w:p>
    <w:p w14:paraId="087F7EED" w14:textId="77777777" w:rsidR="00B31E44" w:rsidRPr="008D1755" w:rsidRDefault="00B31E44" w:rsidP="008D1755">
      <w:pPr>
        <w:pStyle w:val="Paragraphedeliste"/>
        <w:ind w:left="1440"/>
        <w:jc w:val="both"/>
      </w:pPr>
      <w:r w:rsidRPr="008D1755">
        <w:t>a) le nom et la taille de l’entreprise ;</w:t>
      </w:r>
    </w:p>
    <w:p w14:paraId="1E34F8EE" w14:textId="77777777" w:rsidR="00B31E44" w:rsidRPr="008D1755" w:rsidRDefault="00B31E44" w:rsidP="008D1755">
      <w:pPr>
        <w:pStyle w:val="Paragraphedeliste"/>
        <w:ind w:left="1440"/>
        <w:jc w:val="both"/>
      </w:pPr>
      <w:r w:rsidRPr="008D1755">
        <w:t>b) une description du projet, y compris ses dates de début et de fin ;</w:t>
      </w:r>
    </w:p>
    <w:p w14:paraId="713E8A17" w14:textId="77777777" w:rsidR="00B31E44" w:rsidRPr="008D1755" w:rsidRDefault="00B31E44" w:rsidP="008D1755">
      <w:pPr>
        <w:pStyle w:val="Paragraphedeliste"/>
        <w:ind w:left="1440"/>
        <w:jc w:val="both"/>
      </w:pPr>
      <w:r w:rsidRPr="008D1755">
        <w:t>c) la localisation du projet ;</w:t>
      </w:r>
    </w:p>
    <w:p w14:paraId="07448713" w14:textId="77777777" w:rsidR="0086256B" w:rsidRPr="008D1755" w:rsidRDefault="00B31E44" w:rsidP="008D1755">
      <w:pPr>
        <w:pStyle w:val="Paragraphedeliste"/>
        <w:ind w:left="1440"/>
        <w:jc w:val="both"/>
      </w:pPr>
      <w:r w:rsidRPr="008D1755">
        <w:t xml:space="preserve">d) </w:t>
      </w:r>
      <w:r w:rsidR="0086256B" w:rsidRPr="008D1755">
        <w:t>les résultats escomptés en termes de maintien ou de création d'emplois en faveur des travailleurs reconnus handicapés ;</w:t>
      </w:r>
    </w:p>
    <w:p w14:paraId="6AFE9AF9" w14:textId="77777777" w:rsidR="00B31E44" w:rsidRDefault="0086256B" w:rsidP="008D1755">
      <w:pPr>
        <w:pStyle w:val="Paragraphedeliste"/>
        <w:ind w:left="1440"/>
        <w:jc w:val="both"/>
      </w:pPr>
      <w:r w:rsidRPr="008D1755">
        <w:t xml:space="preserve">e) </w:t>
      </w:r>
      <w:r w:rsidR="00D458DE">
        <w:t>un plan de financement du projet, précisant les dépenses, et les ressources publiques et privées, dont le montant de l’aide sollicitée.</w:t>
      </w:r>
    </w:p>
    <w:p w14:paraId="448C2FB4" w14:textId="77777777" w:rsidR="00AE5AD6" w:rsidRDefault="00702047" w:rsidP="00584384">
      <w:pPr>
        <w:jc w:val="both"/>
      </w:pPr>
      <w:r w:rsidRPr="00160914">
        <w:t>L’instruction</w:t>
      </w:r>
      <w:r w:rsidRPr="008D1755">
        <w:t xml:space="preserve"> </w:t>
      </w:r>
      <w:r w:rsidR="006C6B8A" w:rsidRPr="008D1755">
        <w:t xml:space="preserve">est réalisée pour le compte du préfet de région par la </w:t>
      </w:r>
      <w:r w:rsidR="006C6B8A" w:rsidRPr="00EE1141">
        <w:t xml:space="preserve">Direccte </w:t>
      </w:r>
      <w:r w:rsidR="00AE5AD6">
        <w:t xml:space="preserve">dans un délai d’un mois maximum à compter de la réception de la demande complète. </w:t>
      </w:r>
    </w:p>
    <w:p w14:paraId="510EDFEF" w14:textId="151D3FE7" w:rsidR="006C6B8A" w:rsidRDefault="00AE5AD6" w:rsidP="00584384">
      <w:pPr>
        <w:jc w:val="both"/>
      </w:pPr>
      <w:r>
        <w:t>L</w:t>
      </w:r>
      <w:r w:rsidR="006C6B8A">
        <w:t>es propositions issues de l’instruction sont présentées dans le cadre d’un comité régional de suivi du déploiement des EA ad hoc</w:t>
      </w:r>
      <w:r>
        <w:rPr>
          <w:rStyle w:val="Appelnotedebasdep"/>
        </w:rPr>
        <w:footnoteReference w:id="7"/>
      </w:r>
      <w:r w:rsidR="006C6B8A">
        <w:t xml:space="preserve"> associant notamment les représentants des entreprises adaptées, des représentants des collectivités territoriales, </w:t>
      </w:r>
      <w:r>
        <w:t xml:space="preserve">les opérateurs du SPE, des représentants des fonds (AGEFIPH-FIPHFP) et </w:t>
      </w:r>
      <w:r w:rsidR="006C6B8A">
        <w:t>des personnes qualifiées en raison de leur expérience dans le domaine économique et social</w:t>
      </w:r>
      <w:r w:rsidR="00EE4C4E">
        <w:t>. Le comité régional émet</w:t>
      </w:r>
      <w:r>
        <w:t xml:space="preserve"> un avis</w:t>
      </w:r>
      <w:r w:rsidR="00EE4C4E">
        <w:t xml:space="preserve"> sur chaque </w:t>
      </w:r>
      <w:r w:rsidR="00257FAF">
        <w:t>proposition.</w:t>
      </w:r>
    </w:p>
    <w:p w14:paraId="42B1C1F8" w14:textId="60053E66" w:rsidR="00AE5AD6" w:rsidRDefault="00AE5AD6" w:rsidP="00AE5AD6">
      <w:pPr>
        <w:jc w:val="both"/>
      </w:pPr>
      <w:r>
        <w:t xml:space="preserve">Pour la </w:t>
      </w:r>
      <w:r w:rsidR="00D2333F">
        <w:t>première année</w:t>
      </w:r>
      <w:r>
        <w:t xml:space="preserve"> de la réforme,  </w:t>
      </w:r>
      <w:r w:rsidR="00965F43">
        <w:t>et pour permettre l’examen des demandes de financement au titre du fonds au</w:t>
      </w:r>
      <w:r w:rsidR="004D3A23" w:rsidRPr="00B53A15">
        <w:t xml:space="preserve"> plus tard au en juin 2019</w:t>
      </w:r>
      <w:r w:rsidR="004D3A23">
        <w:t xml:space="preserve"> </w:t>
      </w:r>
      <w:r w:rsidR="00965F43">
        <w:t xml:space="preserve">, le comité de suivi  peut être réuni </w:t>
      </w:r>
      <w:r w:rsidRPr="00B53A15">
        <w:t>dans une composition restreinte autour du Préfet ou son représentant (le Direccte</w:t>
      </w:r>
      <w:r w:rsidRPr="004D3A23">
        <w:t xml:space="preserve">), </w:t>
      </w:r>
      <w:r w:rsidRPr="00496F71">
        <w:t xml:space="preserve">les représentants des entreprises adaptées du territoire </w:t>
      </w:r>
      <w:r w:rsidR="00AE3F56">
        <w:t>(</w:t>
      </w:r>
      <w:r w:rsidR="00257FAF" w:rsidRPr="0023697D">
        <w:t>l’UNEA</w:t>
      </w:r>
      <w:r w:rsidR="004D7F09" w:rsidRPr="0023697D">
        <w:t>-</w:t>
      </w:r>
      <w:r w:rsidR="00037010" w:rsidRPr="0023697D">
        <w:t xml:space="preserve"> Délégué régional et </w:t>
      </w:r>
      <w:r w:rsidR="004D7F09" w:rsidRPr="0023697D">
        <w:t>chargé de mission territorial</w:t>
      </w:r>
      <w:r w:rsidR="00037010" w:rsidRPr="0023697D">
        <w:t>-</w:t>
      </w:r>
      <w:r w:rsidR="00257FAF" w:rsidRPr="0023697D">
        <w:t xml:space="preserve"> </w:t>
      </w:r>
      <w:r w:rsidR="004D7F09" w:rsidRPr="0023697D">
        <w:t>e</w:t>
      </w:r>
      <w:r w:rsidR="004D3A23" w:rsidRPr="0023697D">
        <w:t xml:space="preserve">t </w:t>
      </w:r>
      <w:r w:rsidRPr="0023697D">
        <w:t xml:space="preserve"> les représentants des  fonds (AGEFIPH et FIPHFP). </w:t>
      </w:r>
      <w:r w:rsidR="004D3A23" w:rsidRPr="0023697D">
        <w:t xml:space="preserve"> L</w:t>
      </w:r>
      <w:r w:rsidR="00AE3F56" w:rsidRPr="0023697D">
        <w:t>es autres partenaires cités</w:t>
      </w:r>
      <w:r w:rsidR="004D7F09" w:rsidRPr="0023697D">
        <w:t xml:space="preserve"> dont les autres signataires de l’engagement national du 12 juillet</w:t>
      </w:r>
      <w:r w:rsidR="00277668" w:rsidRPr="0023697D">
        <w:t xml:space="preserve"> (APF France Handicap et UNAPEI)</w:t>
      </w:r>
      <w:r w:rsidR="004D7F09" w:rsidRPr="0023697D">
        <w:t xml:space="preserve">, le SPE, les collectivités territoriales, les personnalités qualifiées </w:t>
      </w:r>
      <w:r w:rsidR="00AE3F56" w:rsidRPr="0023697D">
        <w:t xml:space="preserve">devront rejoindre </w:t>
      </w:r>
      <w:r w:rsidR="004D7F09" w:rsidRPr="0023697D">
        <w:rPr>
          <w:b/>
        </w:rPr>
        <w:t>au plus tard en septembre</w:t>
      </w:r>
      <w:r w:rsidR="004D7F09" w:rsidRPr="0023697D">
        <w:t xml:space="preserve"> ce comité</w:t>
      </w:r>
      <w:r w:rsidR="0040625B" w:rsidRPr="0023697D">
        <w:t xml:space="preserve"> régional de suivi du déploiement de la réforme</w:t>
      </w:r>
      <w:r w:rsidR="004D7F09" w:rsidRPr="0023697D">
        <w:t xml:space="preserve">. Ce comité </w:t>
      </w:r>
      <w:r w:rsidR="00057A9F" w:rsidRPr="0023697D">
        <w:t>sera ainsi</w:t>
      </w:r>
      <w:r w:rsidR="004D7F09" w:rsidRPr="0023697D">
        <w:t xml:space="preserve"> </w:t>
      </w:r>
      <w:r w:rsidR="00AE3F56" w:rsidRPr="0023697D">
        <w:t>install</w:t>
      </w:r>
      <w:r w:rsidR="0040625B" w:rsidRPr="0023697D">
        <w:t>é</w:t>
      </w:r>
      <w:r w:rsidR="00AE3F56" w:rsidRPr="0023697D">
        <w:t xml:space="preserve"> dans sa configura</w:t>
      </w:r>
      <w:r w:rsidR="004D7F09" w:rsidRPr="0023697D">
        <w:t>tion</w:t>
      </w:r>
      <w:r w:rsidR="004D3A23" w:rsidRPr="0023697D">
        <w:t xml:space="preserve"> définitive</w:t>
      </w:r>
      <w:r w:rsidR="004D7F09" w:rsidRPr="0023697D">
        <w:t xml:space="preserve">. </w:t>
      </w:r>
      <w:r w:rsidR="00611831" w:rsidRPr="0023697D">
        <w:t xml:space="preserve">Pour la transparence du fonctionnement du </w:t>
      </w:r>
      <w:r w:rsidR="004D7F09" w:rsidRPr="0023697D">
        <w:t xml:space="preserve">comité </w:t>
      </w:r>
      <w:r w:rsidR="0040625B" w:rsidRPr="0023697D">
        <w:t xml:space="preserve">régional </w:t>
      </w:r>
      <w:r w:rsidR="004D7F09" w:rsidRPr="0023697D">
        <w:t>un</w:t>
      </w:r>
      <w:r w:rsidR="0040625B" w:rsidRPr="0023697D">
        <w:t>e</w:t>
      </w:r>
      <w:r w:rsidR="004D7F09" w:rsidRPr="0023697D">
        <w:t xml:space="preserve"> charte fixe les règles de composition, les modalités d’organisation (convocation, définition de l’ordre du jour, droit de vote…) et champs d’intervention (contractualisation, expérimentation, mobilisation du fonds, recrutement)</w:t>
      </w:r>
      <w:r w:rsidR="004D3A23" w:rsidRPr="0023697D">
        <w:t xml:space="preserve">. </w:t>
      </w:r>
      <w:r w:rsidR="0040625B" w:rsidRPr="0023697D">
        <w:t>Son adoption donne lieu à un procès-verbal.</w:t>
      </w:r>
    </w:p>
    <w:p w14:paraId="386B2162" w14:textId="41F1257A" w:rsidR="00584384" w:rsidRDefault="006C6B8A" w:rsidP="00584384">
      <w:pPr>
        <w:jc w:val="both"/>
      </w:pPr>
      <w:r>
        <w:t xml:space="preserve"> </w:t>
      </w:r>
      <w:r w:rsidR="00584384">
        <w:t xml:space="preserve">Le comité de suivi </w:t>
      </w:r>
      <w:r w:rsidR="004059F5">
        <w:t>national de la réforme veille</w:t>
      </w:r>
      <w:r w:rsidR="0040625B">
        <w:t>,</w:t>
      </w:r>
      <w:r w:rsidR="004059F5">
        <w:t xml:space="preserve"> chaque année en </w:t>
      </w:r>
      <w:r w:rsidR="00483F1C">
        <w:t xml:space="preserve">collaboration </w:t>
      </w:r>
      <w:r w:rsidR="004059F5">
        <w:t xml:space="preserve">avec </w:t>
      </w:r>
      <w:r w:rsidR="00483F1C">
        <w:t>chaque</w:t>
      </w:r>
      <w:r w:rsidR="004059F5">
        <w:t xml:space="preserve"> comité régional de suivi du déploiement de la réforme</w:t>
      </w:r>
      <w:r w:rsidR="0040625B">
        <w:t>,</w:t>
      </w:r>
      <w:r w:rsidR="004059F5">
        <w:t xml:space="preserve"> à la bonne mobilisation des crédits affectés au titre de l’année</w:t>
      </w:r>
      <w:r w:rsidR="00483F1C">
        <w:t xml:space="preserve"> et peut le cas échéant formuler des recommandations</w:t>
      </w:r>
      <w:r w:rsidR="004059F5">
        <w:t>. A cet effet</w:t>
      </w:r>
      <w:r w:rsidR="00DA6C90">
        <w:t>,</w:t>
      </w:r>
      <w:r w:rsidR="004059F5">
        <w:t xml:space="preserve"> le comité de suivi </w:t>
      </w:r>
      <w:r w:rsidR="00483F1C">
        <w:t>régional établit</w:t>
      </w:r>
      <w:r w:rsidR="004059F5">
        <w:t xml:space="preserve"> une </w:t>
      </w:r>
      <w:r w:rsidR="00483F1C">
        <w:t>synthèse mensuelle</w:t>
      </w:r>
      <w:r w:rsidR="004059F5">
        <w:t xml:space="preserve"> ou trimestrielle des demandes</w:t>
      </w:r>
      <w:r>
        <w:t xml:space="preserve"> et avis</w:t>
      </w:r>
      <w:r w:rsidR="004059F5">
        <w:t xml:space="preserve"> traités</w:t>
      </w:r>
      <w:r w:rsidR="003C6DD3">
        <w:t xml:space="preserve"> à destination de la DGEFP </w:t>
      </w:r>
      <w:r w:rsidR="00EE4C4E">
        <w:t>et du</w:t>
      </w:r>
      <w:r w:rsidR="003C6DD3">
        <w:t xml:space="preserve"> comité</w:t>
      </w:r>
      <w:r w:rsidR="0040625B">
        <w:t xml:space="preserve"> de suivi</w:t>
      </w:r>
      <w:r w:rsidR="003C6DD3">
        <w:t xml:space="preserve"> national</w:t>
      </w:r>
      <w:r w:rsidR="00483F1C">
        <w:t xml:space="preserve">.  </w:t>
      </w:r>
    </w:p>
    <w:p w14:paraId="00EC81B9" w14:textId="77777777" w:rsidR="006D5F6E" w:rsidRPr="003E278C" w:rsidRDefault="000C5F55" w:rsidP="003A2401">
      <w:pPr>
        <w:rPr>
          <w:b/>
          <w:sz w:val="24"/>
          <w:szCs w:val="24"/>
        </w:rPr>
      </w:pPr>
      <w:r w:rsidRPr="003E278C">
        <w:rPr>
          <w:b/>
          <w:sz w:val="24"/>
          <w:szCs w:val="24"/>
        </w:rPr>
        <w:t xml:space="preserve">4.2 </w:t>
      </w:r>
      <w:r w:rsidR="006D5F6E" w:rsidRPr="003E278C">
        <w:rPr>
          <w:b/>
          <w:sz w:val="24"/>
          <w:szCs w:val="24"/>
        </w:rPr>
        <w:t>Modalités de conventionnement</w:t>
      </w:r>
    </w:p>
    <w:p w14:paraId="0C3956E0" w14:textId="77777777" w:rsidR="0022110C" w:rsidRPr="008D1755" w:rsidRDefault="0022110C" w:rsidP="008D1755">
      <w:pPr>
        <w:jc w:val="both"/>
      </w:pPr>
      <w:r w:rsidRPr="008D1755">
        <w:t>En cas de décision favorable rendue par la Direccte, une convention peut être conclue pour une durée comprise entre un et trois ans</w:t>
      </w:r>
      <w:r w:rsidR="00EE4C4E">
        <w:t xml:space="preserve"> (cf. modèle de convention en annexe)</w:t>
      </w:r>
      <w:r w:rsidRPr="008D1755">
        <w:t>.</w:t>
      </w:r>
      <w:r w:rsidRPr="00BE36FA">
        <w:t xml:space="preserve"> </w:t>
      </w:r>
      <w:r w:rsidRPr="008D1755">
        <w:t>L’article de la convention relatif à l’aide décrit précisément la nature de l’action financée, les modalités de sa contribution au retour à l’emploi, les engagements éventuels de maintien dans l’emploi ou de création d’emplois et les indicateurs de résultat retenus.</w:t>
      </w:r>
    </w:p>
    <w:p w14:paraId="0EC6797D" w14:textId="51D4970B" w:rsidR="0022110C" w:rsidRDefault="0022110C" w:rsidP="008D1755">
      <w:pPr>
        <w:jc w:val="both"/>
      </w:pPr>
      <w:r w:rsidRPr="008D1755">
        <w:t xml:space="preserve">La convention est conclue au plus tard </w:t>
      </w:r>
      <w:r w:rsidR="004D3A23">
        <w:t xml:space="preserve">dans les 15 jours </w:t>
      </w:r>
      <w:r w:rsidRPr="008D1755">
        <w:t>à compter de la notification de la décision</w:t>
      </w:r>
      <w:r w:rsidR="0005040D">
        <w:t xml:space="preserve"> par la Direccte</w:t>
      </w:r>
      <w:r w:rsidRPr="008D1755">
        <w:t>. Elle peut préciser une date d’</w:t>
      </w:r>
      <w:r w:rsidR="00BE36FA" w:rsidRPr="008D1755">
        <w:t xml:space="preserve">effet et comprend obligatoirement les éléments de </w:t>
      </w:r>
      <w:r w:rsidR="00EE4C4E">
        <w:t>compte-</w:t>
      </w:r>
      <w:r w:rsidR="00BE36FA" w:rsidRPr="008D1755">
        <w:t>rendu de l’emploi des fonds accordés</w:t>
      </w:r>
      <w:r w:rsidR="00EE4C4E">
        <w:t xml:space="preserve"> qui devront être fournis par l’entreprise adaptée</w:t>
      </w:r>
      <w:r w:rsidR="00BE36FA" w:rsidRPr="008D1755">
        <w:t>.</w:t>
      </w:r>
      <w:r w:rsidR="0086400F">
        <w:t xml:space="preserve"> </w:t>
      </w:r>
    </w:p>
    <w:p w14:paraId="63B3737C" w14:textId="4F5E0F9E" w:rsidR="0087562D" w:rsidRDefault="0087562D" w:rsidP="008D1755">
      <w:pPr>
        <w:jc w:val="both"/>
      </w:pPr>
      <w:r w:rsidRPr="0023697D">
        <w:t xml:space="preserve">Dans cette phase de démarrage, le principe retenu est celui d’une convention par aide pour plus de clarté et </w:t>
      </w:r>
      <w:r w:rsidR="00F16734" w:rsidRPr="0023697D">
        <w:t>une visée pédagogique car</w:t>
      </w:r>
      <w:r w:rsidRPr="0023697D">
        <w:t xml:space="preserve"> l’ensemble des parties (EA, Direccte et ASP) doivent intégrer les nouveaux schémas de financement.</w:t>
      </w:r>
    </w:p>
    <w:p w14:paraId="6F2F7288" w14:textId="77777777" w:rsidR="006D5F6E" w:rsidRPr="003E278C" w:rsidRDefault="000C5F55" w:rsidP="003A2401">
      <w:pPr>
        <w:rPr>
          <w:b/>
          <w:sz w:val="24"/>
          <w:szCs w:val="24"/>
        </w:rPr>
      </w:pPr>
      <w:r w:rsidRPr="003E278C">
        <w:rPr>
          <w:b/>
          <w:sz w:val="24"/>
          <w:szCs w:val="24"/>
        </w:rPr>
        <w:t xml:space="preserve">4.3 </w:t>
      </w:r>
      <w:r w:rsidR="006D5F6E" w:rsidRPr="003E278C">
        <w:rPr>
          <w:b/>
          <w:sz w:val="24"/>
          <w:szCs w:val="24"/>
        </w:rPr>
        <w:t>Modalités de paiement des aides</w:t>
      </w:r>
    </w:p>
    <w:p w14:paraId="0A49C3DB" w14:textId="77777777" w:rsidR="00EE1141" w:rsidRDefault="006D5F6E" w:rsidP="005F38BE">
      <w:pPr>
        <w:jc w:val="both"/>
      </w:pPr>
      <w:r w:rsidRPr="006D5F6E">
        <w:t xml:space="preserve">Le paiement est effectué par l’Agence de services et de paiement pour le compte de </w:t>
      </w:r>
      <w:r w:rsidR="00C777AE" w:rsidRPr="006D5F6E">
        <w:t xml:space="preserve">l’Etat </w:t>
      </w:r>
      <w:r w:rsidR="0065073B">
        <w:t>selon les modalités suivantes</w:t>
      </w:r>
      <w:r w:rsidR="005F38BE">
        <w:t xml:space="preserve"> : </w:t>
      </w:r>
      <w:r w:rsidRPr="006D5F6E">
        <w:t xml:space="preserve"> </w:t>
      </w:r>
    </w:p>
    <w:p w14:paraId="4AEB6EC4" w14:textId="77777777" w:rsidR="00EE1141" w:rsidRDefault="00EE1141" w:rsidP="00057A9F">
      <w:pPr>
        <w:pStyle w:val="Paragraphedeliste"/>
        <w:numPr>
          <w:ilvl w:val="0"/>
          <w:numId w:val="26"/>
        </w:numPr>
        <w:jc w:val="both"/>
      </w:pPr>
      <w:r>
        <w:t>A la signature de la convention, un</w:t>
      </w:r>
      <w:r w:rsidRPr="006D5F6E">
        <w:t xml:space="preserve"> premier versement est accordé, dans la limite de </w:t>
      </w:r>
      <w:r>
        <w:t>6</w:t>
      </w:r>
      <w:r w:rsidRPr="006D5F6E">
        <w:t>0% de la part de l’Etat</w:t>
      </w:r>
      <w:r>
        <w:t xml:space="preserve"> dans le financement du projet. Il intervient</w:t>
      </w:r>
      <w:r w:rsidRPr="006D5F6E">
        <w:t xml:space="preserve"> dans un délai d’un mois</w:t>
      </w:r>
      <w:r w:rsidR="0005040D">
        <w:t xml:space="preserve"> maximum</w:t>
      </w:r>
      <w:r w:rsidRPr="006D5F6E">
        <w:t xml:space="preserve"> à compter de la date </w:t>
      </w:r>
      <w:r w:rsidR="0005040D">
        <w:t>de transmission</w:t>
      </w:r>
      <w:r w:rsidRPr="006D5F6E">
        <w:t xml:space="preserve"> de la convention</w:t>
      </w:r>
      <w:r w:rsidR="0005040D">
        <w:t xml:space="preserve"> à l’ASP</w:t>
      </w:r>
      <w:r w:rsidR="00D55C3C">
        <w:t> ;</w:t>
      </w:r>
    </w:p>
    <w:p w14:paraId="4505369C" w14:textId="1DF1D588" w:rsidR="00EE1141" w:rsidRDefault="00EE1141" w:rsidP="00057A9F">
      <w:pPr>
        <w:pStyle w:val="Paragraphedeliste"/>
        <w:numPr>
          <w:ilvl w:val="0"/>
          <w:numId w:val="26"/>
        </w:numPr>
        <w:jc w:val="both"/>
      </w:pPr>
      <w:r>
        <w:t>L</w:t>
      </w:r>
      <w:r w:rsidR="0065073B">
        <w:t xml:space="preserve">orsque l’opération est </w:t>
      </w:r>
      <w:r w:rsidR="00E12701">
        <w:t>pluriannuelle, avant</w:t>
      </w:r>
      <w:r w:rsidR="0065073B">
        <w:t xml:space="preserve"> le paiement </w:t>
      </w:r>
      <w:r w:rsidR="00037010">
        <w:t>du solde</w:t>
      </w:r>
      <w:r w:rsidR="0065073B">
        <w:t>, des paiements complémentaires/intermédiaire</w:t>
      </w:r>
      <w:r w:rsidR="00D8469B">
        <w:t>s</w:t>
      </w:r>
      <w:r w:rsidR="0065073B">
        <w:t xml:space="preserve"> peuvent </w:t>
      </w:r>
      <w:r w:rsidR="00D8469B">
        <w:t>être programmés</w:t>
      </w:r>
      <w:r w:rsidR="001F2C4F">
        <w:t xml:space="preserve"> dans le cadre de bilan intermédiaires,</w:t>
      </w:r>
      <w:r w:rsidR="00D8469B">
        <w:t xml:space="preserve"> dans des conditions précisées par la convention. </w:t>
      </w:r>
      <w:r w:rsidR="0065073B">
        <w:t>Le versement du solde s’</w:t>
      </w:r>
      <w:r w:rsidR="00970475">
        <w:t>effectu</w:t>
      </w:r>
      <w:r w:rsidR="0065073B">
        <w:t>e</w:t>
      </w:r>
      <w:r>
        <w:t xml:space="preserve"> </w:t>
      </w:r>
      <w:r w:rsidR="00970475">
        <w:t xml:space="preserve">sur </w:t>
      </w:r>
      <w:r w:rsidR="00970475" w:rsidRPr="006D5F6E">
        <w:t>décision</w:t>
      </w:r>
      <w:r w:rsidR="00970475">
        <w:t xml:space="preserve"> de paiement</w:t>
      </w:r>
      <w:r w:rsidR="00970475" w:rsidRPr="006D5F6E">
        <w:t xml:space="preserve"> de la Direccte pour le compte du Préfet de </w:t>
      </w:r>
      <w:r w:rsidR="00E12701" w:rsidRPr="006D5F6E">
        <w:t>régio</w:t>
      </w:r>
      <w:r w:rsidR="00E12701">
        <w:t xml:space="preserve">n, </w:t>
      </w:r>
      <w:r w:rsidR="00E12701" w:rsidRPr="006D5F6E">
        <w:t>après</w:t>
      </w:r>
      <w:r w:rsidR="00C128DE" w:rsidRPr="006D5F6E">
        <w:t xml:space="preserve"> remise</w:t>
      </w:r>
      <w:r w:rsidR="00970475">
        <w:t xml:space="preserve"> par le bénéficiaire</w:t>
      </w:r>
      <w:r w:rsidR="00C128DE" w:rsidRPr="006D5F6E">
        <w:t xml:space="preserve"> d</w:t>
      </w:r>
      <w:r w:rsidR="0065073B">
        <w:t>’un bilan</w:t>
      </w:r>
      <w:r w:rsidR="001F2C4F">
        <w:t xml:space="preserve"> final</w:t>
      </w:r>
      <w:r w:rsidR="0065073B">
        <w:t xml:space="preserve"> </w:t>
      </w:r>
      <w:r w:rsidR="00C128DE" w:rsidRPr="006D5F6E">
        <w:t xml:space="preserve">et sur production des justificatifs </w:t>
      </w:r>
      <w:r w:rsidR="0065073B">
        <w:t xml:space="preserve">(facture et </w:t>
      </w:r>
      <w:r w:rsidR="00C128DE" w:rsidRPr="006D5F6E">
        <w:t>paiement</w:t>
      </w:r>
      <w:r w:rsidR="0065073B">
        <w:t>)</w:t>
      </w:r>
      <w:r w:rsidR="00970475" w:rsidRPr="00970475">
        <w:t xml:space="preserve"> </w:t>
      </w:r>
      <w:r w:rsidR="00970475">
        <w:t xml:space="preserve">des </w:t>
      </w:r>
      <w:r w:rsidR="00037010">
        <w:t>dépenses effectivement</w:t>
      </w:r>
      <w:r w:rsidR="00970475">
        <w:t xml:space="preserve"> réalisées au titre de l’opération conventionnée </w:t>
      </w:r>
      <w:r w:rsidR="00C128DE">
        <w:t>et.</w:t>
      </w:r>
    </w:p>
    <w:p w14:paraId="740CDD9A" w14:textId="77777777" w:rsidR="008D1755" w:rsidRDefault="0086400F" w:rsidP="00A72E2A">
      <w:pPr>
        <w:jc w:val="both"/>
      </w:pPr>
      <w:r>
        <w:t>En cas de non-exécution partielle ou totale de la convention, les sommes versées font l’objet d’un ordre de reversement émis par l’ASP à la demande de la Direccte. Aucune nouvelle convention ou avenant ne peut être engagé avec l’entreprise adaptée, si la situation précédente n’est pas apurée.</w:t>
      </w:r>
    </w:p>
    <w:p w14:paraId="2C9E6278" w14:textId="77777777" w:rsidR="006D5F6E" w:rsidRPr="003E278C" w:rsidRDefault="00C128DE" w:rsidP="003E278C">
      <w:pPr>
        <w:pStyle w:val="Paragraphedeliste"/>
        <w:numPr>
          <w:ilvl w:val="0"/>
          <w:numId w:val="11"/>
        </w:numPr>
        <w:spacing w:after="0" w:line="240" w:lineRule="auto"/>
        <w:rPr>
          <w:rFonts w:ascii="Arial" w:hAnsi="Arial" w:cs="Arial"/>
          <w:b/>
          <w:color w:val="0070C0"/>
        </w:rPr>
      </w:pPr>
      <w:r w:rsidRPr="003E278C">
        <w:rPr>
          <w:rFonts w:ascii="Arial" w:hAnsi="Arial" w:cs="Arial"/>
          <w:b/>
          <w:color w:val="0070C0"/>
        </w:rPr>
        <w:t>L</w:t>
      </w:r>
      <w:r w:rsidR="007F1A09" w:rsidRPr="003E278C">
        <w:rPr>
          <w:rFonts w:ascii="Arial" w:hAnsi="Arial" w:cs="Arial"/>
          <w:b/>
          <w:color w:val="0070C0"/>
        </w:rPr>
        <w:t>a procédure budgétaire</w:t>
      </w:r>
    </w:p>
    <w:p w14:paraId="53346372" w14:textId="77777777" w:rsidR="007F1A09" w:rsidRPr="003E278C" w:rsidRDefault="007F1A09" w:rsidP="003E278C">
      <w:pPr>
        <w:pStyle w:val="Paragraphedeliste"/>
        <w:spacing w:after="0" w:line="240" w:lineRule="auto"/>
        <w:ind w:left="1080"/>
        <w:rPr>
          <w:rFonts w:ascii="Arial" w:hAnsi="Arial" w:cs="Arial"/>
          <w:b/>
          <w:color w:val="0070C0"/>
        </w:rPr>
      </w:pPr>
    </w:p>
    <w:p w14:paraId="1BD7DBB1" w14:textId="777144E1" w:rsidR="00440B96" w:rsidRPr="00104CCF" w:rsidRDefault="0018593E" w:rsidP="008D1755">
      <w:pPr>
        <w:jc w:val="both"/>
        <w:rPr>
          <w:bCs/>
        </w:rPr>
      </w:pPr>
      <w:r>
        <w:rPr>
          <w:bCs/>
        </w:rPr>
        <w:t>Les moyens alloués</w:t>
      </w:r>
      <w:r w:rsidR="003E26DF">
        <w:rPr>
          <w:bCs/>
        </w:rPr>
        <w:t xml:space="preserve"> </w:t>
      </w:r>
      <w:r>
        <w:rPr>
          <w:bCs/>
        </w:rPr>
        <w:t>au fonds</w:t>
      </w:r>
      <w:r w:rsidR="00C128DE">
        <w:rPr>
          <w:bCs/>
        </w:rPr>
        <w:t xml:space="preserve"> d’accompagnement </w:t>
      </w:r>
      <w:r w:rsidR="005E713F">
        <w:rPr>
          <w:bCs/>
        </w:rPr>
        <w:t xml:space="preserve">à </w:t>
      </w:r>
      <w:r w:rsidR="00C128DE">
        <w:rPr>
          <w:bCs/>
        </w:rPr>
        <w:t xml:space="preserve">la </w:t>
      </w:r>
      <w:r w:rsidR="003E26DF">
        <w:rPr>
          <w:bCs/>
        </w:rPr>
        <w:t>transformation</w:t>
      </w:r>
      <w:r w:rsidR="003E26DF" w:rsidRPr="00C128DE">
        <w:rPr>
          <w:bCs/>
        </w:rPr>
        <w:t xml:space="preserve"> </w:t>
      </w:r>
      <w:r w:rsidR="00D55C3C">
        <w:rPr>
          <w:bCs/>
        </w:rPr>
        <w:t>s</w:t>
      </w:r>
      <w:r w:rsidR="00440B96">
        <w:rPr>
          <w:bCs/>
        </w:rPr>
        <w:t xml:space="preserve">ont </w:t>
      </w:r>
      <w:r w:rsidR="00D55C3C">
        <w:rPr>
          <w:bCs/>
        </w:rPr>
        <w:t>fixés annuellement au niveau national</w:t>
      </w:r>
      <w:r w:rsidR="00EE4C4E">
        <w:rPr>
          <w:bCs/>
        </w:rPr>
        <w:t>. L</w:t>
      </w:r>
      <w:r w:rsidR="00440B96">
        <w:rPr>
          <w:bCs/>
        </w:rPr>
        <w:t>a mise en œuvre opérationnelle est gérée au niveau régional par la Direccte pour le compte du préfet de région</w:t>
      </w:r>
      <w:r w:rsidR="003E26DF">
        <w:rPr>
          <w:bCs/>
        </w:rPr>
        <w:t xml:space="preserve">.  </w:t>
      </w:r>
      <w:r w:rsidR="00CC716F" w:rsidRPr="00496F71">
        <w:rPr>
          <w:bCs/>
        </w:rPr>
        <w:t>Une</w:t>
      </w:r>
      <w:r w:rsidR="00C5740E" w:rsidRPr="00496F71">
        <w:rPr>
          <w:bCs/>
        </w:rPr>
        <w:t xml:space="preserve"> part de crédits peut être réservée au niveau national par la DGEFP pour </w:t>
      </w:r>
      <w:r w:rsidR="00A72E2A" w:rsidRPr="00496F71">
        <w:rPr>
          <w:bCs/>
        </w:rPr>
        <w:t>financer</w:t>
      </w:r>
      <w:r w:rsidR="00EE4C4E">
        <w:rPr>
          <w:bCs/>
        </w:rPr>
        <w:t>,</w:t>
      </w:r>
      <w:r w:rsidR="00A72E2A" w:rsidRPr="00496F71">
        <w:rPr>
          <w:bCs/>
        </w:rPr>
        <w:t xml:space="preserve"> en</w:t>
      </w:r>
      <w:r w:rsidR="00104CCF" w:rsidRPr="00496F71">
        <w:rPr>
          <w:bCs/>
        </w:rPr>
        <w:t xml:space="preserve"> lien avec le comité de suivi national</w:t>
      </w:r>
      <w:r w:rsidR="00EE4C4E">
        <w:rPr>
          <w:bCs/>
        </w:rPr>
        <w:t>,</w:t>
      </w:r>
      <w:r w:rsidR="00104CCF" w:rsidRPr="00496F71">
        <w:rPr>
          <w:bCs/>
        </w:rPr>
        <w:t xml:space="preserve"> </w:t>
      </w:r>
      <w:r w:rsidR="0027696F" w:rsidRPr="000B3156">
        <w:rPr>
          <w:bCs/>
        </w:rPr>
        <w:t>des</w:t>
      </w:r>
      <w:r w:rsidR="0027696F">
        <w:rPr>
          <w:bCs/>
        </w:rPr>
        <w:t xml:space="preserve"> actions</w:t>
      </w:r>
      <w:r w:rsidR="00CC716F">
        <w:rPr>
          <w:bCs/>
        </w:rPr>
        <w:t xml:space="preserve"> et </w:t>
      </w:r>
      <w:r w:rsidR="00104CCF">
        <w:rPr>
          <w:bCs/>
        </w:rPr>
        <w:t xml:space="preserve">des </w:t>
      </w:r>
      <w:r w:rsidR="00CC716F">
        <w:rPr>
          <w:bCs/>
        </w:rPr>
        <w:t>projets</w:t>
      </w:r>
      <w:r w:rsidR="00A76C2B">
        <w:rPr>
          <w:bCs/>
        </w:rPr>
        <w:t xml:space="preserve"> qui c</w:t>
      </w:r>
      <w:r w:rsidR="00CC716F">
        <w:rPr>
          <w:bCs/>
        </w:rPr>
        <w:t xml:space="preserve">oncourent </w:t>
      </w:r>
      <w:r w:rsidR="00A76C2B">
        <w:rPr>
          <w:bCs/>
        </w:rPr>
        <w:t xml:space="preserve">à la </w:t>
      </w:r>
      <w:r w:rsidR="00CC716F">
        <w:rPr>
          <w:bCs/>
        </w:rPr>
        <w:t>réalisation</w:t>
      </w:r>
      <w:r w:rsidR="00A76C2B">
        <w:rPr>
          <w:bCs/>
        </w:rPr>
        <w:t xml:space="preserve"> de l’engagement national</w:t>
      </w:r>
      <w:r w:rsidR="00CC716F">
        <w:rPr>
          <w:bCs/>
        </w:rPr>
        <w:t xml:space="preserve"> </w:t>
      </w:r>
      <w:r w:rsidR="00D62100">
        <w:rPr>
          <w:bCs/>
        </w:rPr>
        <w:t>« Cap vers l’entreprise inclusive »</w:t>
      </w:r>
      <w:r w:rsidR="00257FAF">
        <w:rPr>
          <w:bCs/>
        </w:rPr>
        <w:t xml:space="preserve"> 2019-2022</w:t>
      </w:r>
      <w:r w:rsidR="00EE4C4E">
        <w:rPr>
          <w:bCs/>
        </w:rPr>
        <w:t>,</w:t>
      </w:r>
      <w:r w:rsidR="00D62100">
        <w:rPr>
          <w:bCs/>
        </w:rPr>
        <w:t xml:space="preserve"> </w:t>
      </w:r>
      <w:r w:rsidR="00CC716F">
        <w:rPr>
          <w:bCs/>
        </w:rPr>
        <w:t>notamment en matière d’évaluation</w:t>
      </w:r>
      <w:r w:rsidR="00EE4C4E">
        <w:rPr>
          <w:bCs/>
        </w:rPr>
        <w:t xml:space="preserve"> ou</w:t>
      </w:r>
      <w:r w:rsidR="00970475">
        <w:rPr>
          <w:bCs/>
        </w:rPr>
        <w:t xml:space="preserve"> </w:t>
      </w:r>
      <w:r w:rsidR="00104CCF" w:rsidRPr="00D62100">
        <w:rPr>
          <w:bCs/>
        </w:rPr>
        <w:t>d</w:t>
      </w:r>
      <w:r w:rsidR="00EE4C4E">
        <w:rPr>
          <w:bCs/>
        </w:rPr>
        <w:t>’</w:t>
      </w:r>
      <w:r w:rsidR="00104CCF" w:rsidRPr="00D62100">
        <w:rPr>
          <w:bCs/>
        </w:rPr>
        <w:t>actions de formations collectives des dirigeants aux titres des expérimentations</w:t>
      </w:r>
      <w:r w:rsidR="00A76C2B" w:rsidRPr="00D62100">
        <w:rPr>
          <w:bCs/>
        </w:rPr>
        <w:t>.</w:t>
      </w:r>
      <w:r w:rsidR="00104CCF">
        <w:rPr>
          <w:bCs/>
        </w:rPr>
        <w:t xml:space="preserve"> </w:t>
      </w:r>
    </w:p>
    <w:p w14:paraId="49571700" w14:textId="77777777" w:rsidR="00D93697" w:rsidRDefault="003E26DF" w:rsidP="008D1755">
      <w:pPr>
        <w:jc w:val="both"/>
        <w:rPr>
          <w:bCs/>
        </w:rPr>
      </w:pPr>
      <w:r>
        <w:rPr>
          <w:bCs/>
        </w:rPr>
        <w:t xml:space="preserve">La DGEFP notifie </w:t>
      </w:r>
      <w:r w:rsidR="00440B96">
        <w:rPr>
          <w:bCs/>
        </w:rPr>
        <w:t xml:space="preserve">à chaque </w:t>
      </w:r>
      <w:r>
        <w:rPr>
          <w:bCs/>
        </w:rPr>
        <w:t>Direccte une</w:t>
      </w:r>
      <w:r w:rsidR="0005040D">
        <w:rPr>
          <w:bCs/>
        </w:rPr>
        <w:t xml:space="preserve"> première</w:t>
      </w:r>
      <w:r>
        <w:rPr>
          <w:bCs/>
        </w:rPr>
        <w:t xml:space="preserve"> enveloppe </w:t>
      </w:r>
      <w:r w:rsidR="00440B96">
        <w:rPr>
          <w:bCs/>
        </w:rPr>
        <w:t xml:space="preserve">financière </w:t>
      </w:r>
      <w:r w:rsidR="0018593E">
        <w:rPr>
          <w:bCs/>
        </w:rPr>
        <w:t xml:space="preserve">déterminée </w:t>
      </w:r>
      <w:r w:rsidR="0005040D">
        <w:rPr>
          <w:bCs/>
        </w:rPr>
        <w:t>selon les modalités précisées dans la circulaire relative au fonds de l’inclusion dans l’emploi (FIE)</w:t>
      </w:r>
      <w:r w:rsidR="00440B96">
        <w:rPr>
          <w:bCs/>
        </w:rPr>
        <w:t>.</w:t>
      </w:r>
    </w:p>
    <w:p w14:paraId="0B462278" w14:textId="62F4185A" w:rsidR="00460078" w:rsidRDefault="00440B96" w:rsidP="008D1755">
      <w:pPr>
        <w:jc w:val="both"/>
        <w:rPr>
          <w:bCs/>
        </w:rPr>
      </w:pPr>
      <w:r>
        <w:rPr>
          <w:bCs/>
        </w:rPr>
        <w:t xml:space="preserve"> </w:t>
      </w:r>
      <w:r w:rsidR="00EC712D">
        <w:rPr>
          <w:bCs/>
        </w:rPr>
        <w:t>La Direccte</w:t>
      </w:r>
      <w:r w:rsidR="00460078">
        <w:rPr>
          <w:bCs/>
        </w:rPr>
        <w:t xml:space="preserve"> : </w:t>
      </w:r>
    </w:p>
    <w:p w14:paraId="53845DEC" w14:textId="5BA0AC5D" w:rsidR="00277AD9" w:rsidRDefault="00D93697" w:rsidP="008D1755">
      <w:pPr>
        <w:jc w:val="both"/>
        <w:rPr>
          <w:bCs/>
          <w:highlight w:val="yellow"/>
        </w:rPr>
      </w:pPr>
      <w:r>
        <w:rPr>
          <w:bCs/>
          <w:u w:val="single"/>
        </w:rPr>
        <w:t xml:space="preserve">a) </w:t>
      </w:r>
      <w:r w:rsidR="00277AD9" w:rsidRPr="00D93697">
        <w:rPr>
          <w:bCs/>
          <w:u w:val="single"/>
        </w:rPr>
        <w:t>instruit les</w:t>
      </w:r>
      <w:r w:rsidR="001E76C5" w:rsidRPr="00D93697">
        <w:rPr>
          <w:bCs/>
          <w:u w:val="single"/>
        </w:rPr>
        <w:t xml:space="preserve"> dossiers de demande</w:t>
      </w:r>
      <w:r w:rsidR="00460078" w:rsidRPr="00D93697">
        <w:rPr>
          <w:bCs/>
          <w:u w:val="single"/>
        </w:rPr>
        <w:t> :</w:t>
      </w:r>
      <w:r w:rsidR="00460078">
        <w:rPr>
          <w:bCs/>
        </w:rPr>
        <w:t xml:space="preserve"> </w:t>
      </w:r>
      <w:r w:rsidR="00277AD9" w:rsidRPr="00277AD9">
        <w:rPr>
          <w:bCs/>
        </w:rPr>
        <w:t>d’aide destinée à poursuivre l’effort d’investissement engagé avant le 1</w:t>
      </w:r>
      <w:r w:rsidR="00277AD9" w:rsidRPr="00277AD9">
        <w:rPr>
          <w:bCs/>
          <w:vertAlign w:val="superscript"/>
        </w:rPr>
        <w:t>er</w:t>
      </w:r>
      <w:r w:rsidR="00277AD9" w:rsidRPr="00277AD9">
        <w:rPr>
          <w:bCs/>
        </w:rPr>
        <w:t xml:space="preserve"> janvier 2019 sur la période transitoire 2019-2021, d’aide destinée à engager l’accompagnement de la modernisation des entreprises adaptées à compter du 1</w:t>
      </w:r>
      <w:r w:rsidR="00277AD9" w:rsidRPr="00277AD9">
        <w:rPr>
          <w:bCs/>
          <w:vertAlign w:val="superscript"/>
        </w:rPr>
        <w:t>er</w:t>
      </w:r>
      <w:r w:rsidR="00277AD9" w:rsidRPr="00277AD9">
        <w:rPr>
          <w:bCs/>
        </w:rPr>
        <w:t xml:space="preserve"> janvier 2019,</w:t>
      </w:r>
      <w:r w:rsidR="001E76C5" w:rsidRPr="00277AD9">
        <w:rPr>
          <w:bCs/>
        </w:rPr>
        <w:t xml:space="preserve"> d’aide </w:t>
      </w:r>
      <w:r w:rsidR="00460078" w:rsidRPr="00277AD9">
        <w:rPr>
          <w:bCs/>
        </w:rPr>
        <w:t>en faveur de</w:t>
      </w:r>
      <w:r w:rsidR="001E76C5" w:rsidRPr="00277AD9">
        <w:rPr>
          <w:bCs/>
        </w:rPr>
        <w:t xml:space="preserve"> </w:t>
      </w:r>
      <w:r w:rsidR="00EC712D" w:rsidRPr="00277AD9">
        <w:rPr>
          <w:bCs/>
        </w:rPr>
        <w:t>l’investissement</w:t>
      </w:r>
      <w:r w:rsidR="00460078" w:rsidRPr="00277AD9">
        <w:rPr>
          <w:bCs/>
        </w:rPr>
        <w:t xml:space="preserve"> des PME</w:t>
      </w:r>
      <w:r w:rsidR="00277AD9" w:rsidRPr="00277AD9">
        <w:rPr>
          <w:bCs/>
        </w:rPr>
        <w:t xml:space="preserve">, </w:t>
      </w:r>
      <w:r w:rsidR="001E76C5" w:rsidRPr="00277AD9">
        <w:rPr>
          <w:bCs/>
        </w:rPr>
        <w:t>d’aide au</w:t>
      </w:r>
      <w:r w:rsidR="00E12701" w:rsidRPr="00277AD9">
        <w:rPr>
          <w:bCs/>
        </w:rPr>
        <w:t>x services de</w:t>
      </w:r>
      <w:r w:rsidR="001E76C5" w:rsidRPr="00277AD9">
        <w:rPr>
          <w:bCs/>
        </w:rPr>
        <w:t xml:space="preserve"> conseil</w:t>
      </w:r>
      <w:r w:rsidR="00460078">
        <w:rPr>
          <w:bCs/>
        </w:rPr>
        <w:t xml:space="preserve"> en faveur des PME</w:t>
      </w:r>
      <w:r w:rsidR="00277AD9">
        <w:rPr>
          <w:bCs/>
        </w:rPr>
        <w:t xml:space="preserve">, </w:t>
      </w:r>
      <w:r w:rsidR="00E12701">
        <w:rPr>
          <w:bCs/>
        </w:rPr>
        <w:t xml:space="preserve"> </w:t>
      </w:r>
    </w:p>
    <w:p w14:paraId="4DB7904D" w14:textId="77777777" w:rsidR="00D93697" w:rsidRDefault="00D93697" w:rsidP="008D1755">
      <w:pPr>
        <w:jc w:val="both"/>
        <w:rPr>
          <w:bCs/>
        </w:rPr>
      </w:pPr>
      <w:r>
        <w:rPr>
          <w:bCs/>
        </w:rPr>
        <w:t xml:space="preserve">b) </w:t>
      </w:r>
      <w:r w:rsidR="00EC712D">
        <w:rPr>
          <w:bCs/>
        </w:rPr>
        <w:t>arrête les montants</w:t>
      </w:r>
      <w:r>
        <w:rPr>
          <w:bCs/>
        </w:rPr>
        <w:t xml:space="preserve"> d’aide alloués à chaque demandeur et notifie la décision</w:t>
      </w:r>
      <w:r w:rsidR="00277AD9">
        <w:rPr>
          <w:bCs/>
        </w:rPr>
        <w:t>.</w:t>
      </w:r>
    </w:p>
    <w:p w14:paraId="4313CF85" w14:textId="3C16D187" w:rsidR="003A2401" w:rsidRDefault="00D93697" w:rsidP="008D1755">
      <w:pPr>
        <w:jc w:val="both"/>
        <w:rPr>
          <w:bCs/>
        </w:rPr>
      </w:pPr>
      <w:r>
        <w:rPr>
          <w:bCs/>
        </w:rPr>
        <w:t>c) transmets la convention signée</w:t>
      </w:r>
      <w:r w:rsidRPr="00D93697">
        <w:rPr>
          <w:bCs/>
        </w:rPr>
        <w:t xml:space="preserve"> </w:t>
      </w:r>
      <w:r>
        <w:rPr>
          <w:bCs/>
        </w:rPr>
        <w:t>à l’ASP</w:t>
      </w:r>
      <w:r>
        <w:rPr>
          <w:bCs/>
        </w:rPr>
        <w:t xml:space="preserve"> qui est chargée d’effectuer les paiements. </w:t>
      </w:r>
      <w:r w:rsidR="00A76C2B">
        <w:rPr>
          <w:bCs/>
        </w:rPr>
        <w:t xml:space="preserve"> </w:t>
      </w:r>
    </w:p>
    <w:p w14:paraId="6A0D0053" w14:textId="2AF68436" w:rsidR="00422BA0" w:rsidRPr="0085276F" w:rsidRDefault="00EC712D" w:rsidP="008D1755">
      <w:pPr>
        <w:jc w:val="both"/>
        <w:rPr>
          <w:bCs/>
        </w:rPr>
      </w:pPr>
      <w:r>
        <w:rPr>
          <w:bCs/>
        </w:rPr>
        <w:t xml:space="preserve">La DGEFP </w:t>
      </w:r>
      <w:r w:rsidR="0005040D">
        <w:rPr>
          <w:bCs/>
        </w:rPr>
        <w:t>peut procéder</w:t>
      </w:r>
      <w:r w:rsidR="00D93697">
        <w:rPr>
          <w:bCs/>
        </w:rPr>
        <w:t xml:space="preserve"> en cours d’année</w:t>
      </w:r>
      <w:r w:rsidR="00EE4C4E">
        <w:rPr>
          <w:bCs/>
        </w:rPr>
        <w:t>, en fonction des crédits disponibles,</w:t>
      </w:r>
      <w:r w:rsidR="0005040D">
        <w:rPr>
          <w:bCs/>
        </w:rPr>
        <w:t xml:space="preserve"> à une notification complémentaire </w:t>
      </w:r>
      <w:r>
        <w:rPr>
          <w:bCs/>
        </w:rPr>
        <w:t>dans la limite de crédits disponible</w:t>
      </w:r>
      <w:r w:rsidR="0085276F">
        <w:rPr>
          <w:bCs/>
        </w:rPr>
        <w:t>s</w:t>
      </w:r>
      <w:r>
        <w:rPr>
          <w:bCs/>
        </w:rPr>
        <w:t xml:space="preserve"> pour tenir compte des</w:t>
      </w:r>
      <w:r w:rsidR="0085276F" w:rsidRPr="0085276F">
        <w:rPr>
          <w:bCs/>
        </w:rPr>
        <w:t xml:space="preserve"> caractéristiques </w:t>
      </w:r>
      <w:r w:rsidR="0085276F">
        <w:rPr>
          <w:bCs/>
        </w:rPr>
        <w:t>des projets</w:t>
      </w:r>
      <w:r w:rsidR="0085276F" w:rsidRPr="0085276F">
        <w:rPr>
          <w:bCs/>
        </w:rPr>
        <w:t xml:space="preserve"> et des besoins</w:t>
      </w:r>
      <w:r w:rsidR="0085276F">
        <w:rPr>
          <w:bCs/>
        </w:rPr>
        <w:t xml:space="preserve"> remontés</w:t>
      </w:r>
      <w:r>
        <w:rPr>
          <w:bCs/>
        </w:rPr>
        <w:t xml:space="preserve"> de chaque régio</w:t>
      </w:r>
      <w:bookmarkStart w:id="0" w:name="_GoBack"/>
      <w:bookmarkEnd w:id="0"/>
      <w:r>
        <w:rPr>
          <w:bCs/>
        </w:rPr>
        <w:t>n</w:t>
      </w:r>
      <w:r w:rsidR="008D5680">
        <w:rPr>
          <w:bCs/>
        </w:rPr>
        <w:t>.</w:t>
      </w:r>
      <w:r w:rsidR="0085276F">
        <w:rPr>
          <w:bCs/>
        </w:rPr>
        <w:t xml:space="preserve"> </w:t>
      </w:r>
    </w:p>
    <w:p w14:paraId="0FD25648" w14:textId="77777777" w:rsidR="003B4BB7" w:rsidRDefault="003B4BB7" w:rsidP="008D1755"/>
    <w:sectPr w:rsidR="003B4BB7">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8A2E15" w16cid:durableId="207289EC"/>
  <w16cid:commentId w16cid:paraId="72169AA4" w16cid:durableId="207289ED"/>
  <w16cid:commentId w16cid:paraId="403DA063" w16cid:durableId="207289EE"/>
  <w16cid:commentId w16cid:paraId="0EF291FD" w16cid:durableId="207289EF"/>
  <w16cid:commentId w16cid:paraId="68377C90" w16cid:durableId="207289F0"/>
  <w16cid:commentId w16cid:paraId="33B28B3C" w16cid:durableId="207289F1"/>
  <w16cid:commentId w16cid:paraId="43AB2477" w16cid:durableId="207289F2"/>
  <w16cid:commentId w16cid:paraId="63945E5A" w16cid:durableId="207289F3"/>
  <w16cid:commentId w16cid:paraId="3A348498" w16cid:durableId="207289F4"/>
  <w16cid:commentId w16cid:paraId="0BCF89AC" w16cid:durableId="207289F5"/>
  <w16cid:commentId w16cid:paraId="57BC3E12" w16cid:durableId="207289F6"/>
  <w16cid:commentId w16cid:paraId="6BA628DB" w16cid:durableId="207289F7"/>
  <w16cid:commentId w16cid:paraId="607A3E1C" w16cid:durableId="207289F8"/>
  <w16cid:commentId w16cid:paraId="4CADAF62" w16cid:durableId="207289F9"/>
  <w16cid:commentId w16cid:paraId="3E2E1C11" w16cid:durableId="207289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C31BE" w14:textId="77777777" w:rsidR="00623BA5" w:rsidRDefault="00623BA5" w:rsidP="00501DBC">
      <w:pPr>
        <w:spacing w:after="0" w:line="240" w:lineRule="auto"/>
      </w:pPr>
      <w:r>
        <w:separator/>
      </w:r>
    </w:p>
  </w:endnote>
  <w:endnote w:type="continuationSeparator" w:id="0">
    <w:p w14:paraId="00FCAB17" w14:textId="77777777" w:rsidR="00623BA5" w:rsidRDefault="00623BA5" w:rsidP="00501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29705"/>
      <w:docPartObj>
        <w:docPartGallery w:val="Page Numbers (Bottom of Page)"/>
        <w:docPartUnique/>
      </w:docPartObj>
    </w:sdtPr>
    <w:sdtEndPr/>
    <w:sdtContent>
      <w:p w14:paraId="6E576271" w14:textId="3498D08F" w:rsidR="00257FAF" w:rsidRDefault="00257FAF">
        <w:pPr>
          <w:pStyle w:val="Pieddepage"/>
          <w:jc w:val="right"/>
        </w:pPr>
        <w:r>
          <w:fldChar w:fldCharType="begin"/>
        </w:r>
        <w:r>
          <w:instrText>PAGE   \* MERGEFORMAT</w:instrText>
        </w:r>
        <w:r>
          <w:fldChar w:fldCharType="separate"/>
        </w:r>
        <w:r w:rsidR="00623BA5">
          <w:rPr>
            <w:noProof/>
          </w:rPr>
          <w:t>1</w:t>
        </w:r>
        <w:r>
          <w:fldChar w:fldCharType="end"/>
        </w:r>
      </w:p>
    </w:sdtContent>
  </w:sdt>
  <w:p w14:paraId="296888A8" w14:textId="77777777" w:rsidR="00257FAF" w:rsidRDefault="00257F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B5176" w14:textId="77777777" w:rsidR="00623BA5" w:rsidRDefault="00623BA5" w:rsidP="00501DBC">
      <w:pPr>
        <w:spacing w:after="0" w:line="240" w:lineRule="auto"/>
      </w:pPr>
      <w:r>
        <w:separator/>
      </w:r>
    </w:p>
  </w:footnote>
  <w:footnote w:type="continuationSeparator" w:id="0">
    <w:p w14:paraId="49B2DB9C" w14:textId="77777777" w:rsidR="00623BA5" w:rsidRDefault="00623BA5" w:rsidP="00501DBC">
      <w:pPr>
        <w:spacing w:after="0" w:line="240" w:lineRule="auto"/>
      </w:pPr>
      <w:r>
        <w:continuationSeparator/>
      </w:r>
    </w:p>
  </w:footnote>
  <w:footnote w:id="1">
    <w:p w14:paraId="50E99A23" w14:textId="77777777" w:rsidR="00257FAF" w:rsidRDefault="00257FAF">
      <w:pPr>
        <w:pStyle w:val="Notedebasdepage"/>
      </w:pPr>
      <w:r>
        <w:rPr>
          <w:rStyle w:val="Appelnotedebasdep"/>
        </w:rPr>
        <w:footnoteRef/>
      </w:r>
      <w:r>
        <w:t xml:space="preserve"> Notifié dans le cadre du Fonds d’inclusion dans l’emploi – cf. circulaire DGEFP 2019/17 du 31 janvier 2019 relative au fonds d’inclusion dans l’emploi en faveur des personnes les plus éloignées du marché du travail</w:t>
      </w:r>
    </w:p>
  </w:footnote>
  <w:footnote w:id="2">
    <w:p w14:paraId="2CCB1904" w14:textId="73759FD6" w:rsidR="00257FAF" w:rsidRPr="00596CC7" w:rsidRDefault="00257FAF" w:rsidP="004925C2">
      <w:pPr>
        <w:pStyle w:val="Notedebasdepage"/>
        <w:rPr>
          <w:bCs/>
        </w:rPr>
      </w:pPr>
      <w:r>
        <w:rPr>
          <w:rStyle w:val="Appelnotedebasdep"/>
        </w:rPr>
        <w:footnoteRef/>
      </w:r>
      <w:r>
        <w:t xml:space="preserve"> </w:t>
      </w:r>
      <w:r w:rsidRPr="00A72E2A">
        <w:rPr>
          <w:bCs/>
        </w:rPr>
        <w:t xml:space="preserve">Cf. décret n°2018-514 relatif aux subventions de l’Etat pour des projets d’investissement et l’arrêté du 21 août </w:t>
      </w:r>
      <w:r w:rsidR="00596CC7" w:rsidRPr="00A72E2A">
        <w:rPr>
          <w:bCs/>
        </w:rPr>
        <w:t>2018</w:t>
      </w:r>
      <w:r w:rsidR="00596CC7">
        <w:rPr>
          <w:bCs/>
        </w:rPr>
        <w:t xml:space="preserve"> pris</w:t>
      </w:r>
      <w:r w:rsidR="00596CC7" w:rsidRPr="00596CC7">
        <w:rPr>
          <w:bCs/>
        </w:rPr>
        <w:t xml:space="preserve"> en application de l’article 3 du décret n° 2018-514</w:t>
      </w:r>
    </w:p>
  </w:footnote>
  <w:footnote w:id="3">
    <w:p w14:paraId="068B824D" w14:textId="77777777" w:rsidR="00257FAF" w:rsidRDefault="00257FAF">
      <w:pPr>
        <w:pStyle w:val="Notedebasdepage"/>
      </w:pPr>
      <w:r>
        <w:rPr>
          <w:rStyle w:val="Appelnotedebasdep"/>
        </w:rPr>
        <w:footnoteRef/>
      </w:r>
      <w:r>
        <w:t xml:space="preserve"> Cf. Régime cadre exempté de notification SA. 40453 relatif aux aides en faveur des PME pour la période 2014-2020 qui rappelle cette définition.</w:t>
      </w:r>
    </w:p>
  </w:footnote>
  <w:footnote w:id="4">
    <w:p w14:paraId="7F60816D" w14:textId="77777777" w:rsidR="00376432" w:rsidRDefault="00376432" w:rsidP="00376432">
      <w:pPr>
        <w:pStyle w:val="Notedebasdepage"/>
      </w:pPr>
      <w:r>
        <w:rPr>
          <w:rStyle w:val="Appelnotedebasdep"/>
        </w:rPr>
        <w:footnoteRef/>
      </w:r>
      <w:r>
        <w:t xml:space="preserve"> La liste des structures pouvant être accompagnées par le DLA est consultable sur le site web : </w:t>
      </w:r>
      <w:r w:rsidRPr="00D40E88">
        <w:t>https://www.info-dla.fr/beneficiaires/qui-peut-etre-accompagne/</w:t>
      </w:r>
    </w:p>
  </w:footnote>
  <w:footnote w:id="5">
    <w:p w14:paraId="7C0611CA" w14:textId="15CE4317" w:rsidR="00AB77AD" w:rsidRDefault="00AB77AD" w:rsidP="00057A9F">
      <w:pPr>
        <w:pStyle w:val="Notedebasdepage"/>
        <w:jc w:val="both"/>
      </w:pPr>
      <w:r w:rsidRPr="00D2333F">
        <w:rPr>
          <w:rStyle w:val="Appelnotedebasdep"/>
        </w:rPr>
        <w:footnoteRef/>
      </w:r>
      <w:r w:rsidRPr="00D2333F">
        <w:t xml:space="preserve"> </w:t>
      </w:r>
      <w:r w:rsidRPr="0023697D">
        <w:t>La notion d’extension fait référence à la création d’une nouvelle unité de production rattachée à un établissement existant figurant sur l’annexe 1 du CPOM.</w:t>
      </w:r>
    </w:p>
  </w:footnote>
  <w:footnote w:id="6">
    <w:p w14:paraId="55B5DF87" w14:textId="77777777" w:rsidR="00901B41" w:rsidRDefault="00901B41" w:rsidP="00901B41">
      <w:pPr>
        <w:pStyle w:val="Notedebasdepage"/>
        <w:jc w:val="both"/>
      </w:pPr>
      <w:r>
        <w:rPr>
          <w:rStyle w:val="Appelnotedebasdep"/>
        </w:rPr>
        <w:footnoteRef/>
      </w:r>
      <w:r>
        <w:t xml:space="preserve"> </w:t>
      </w:r>
      <w:r w:rsidRPr="00980330">
        <w:rPr>
          <w:bCs/>
          <w:i/>
          <w:iCs/>
        </w:rPr>
        <w:t>Une entreprise qui occupent moins de 250 personnes et le chiffre d'affaires annuel ne doit pas excéder 50 millions d'euros, ou le total du bilan ne doit pas excéder 43 millions d'euros.</w:t>
      </w:r>
    </w:p>
  </w:footnote>
  <w:footnote w:id="7">
    <w:p w14:paraId="4AAB3B37" w14:textId="77777777" w:rsidR="00257FAF" w:rsidRDefault="00257FAF">
      <w:pPr>
        <w:pStyle w:val="Notedebasdepage"/>
      </w:pPr>
      <w:r>
        <w:rPr>
          <w:rStyle w:val="Appelnotedebasdep"/>
        </w:rPr>
        <w:footnoteRef/>
      </w:r>
      <w:r>
        <w:t xml:space="preserve"> §3 de l’instruction DGEFP/METH/2019/42 du 21 février 2019 relative au nouveau cadre de référence des entreprises adaptées issu de la loi n°2018-771 du 5 septembre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43A0"/>
    <w:multiLevelType w:val="hybridMultilevel"/>
    <w:tmpl w:val="31D8BAC0"/>
    <w:lvl w:ilvl="0" w:tplc="517A0A3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895019"/>
    <w:multiLevelType w:val="hybridMultilevel"/>
    <w:tmpl w:val="EF4827F8"/>
    <w:lvl w:ilvl="0" w:tplc="90E62F0A">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8E6BD2"/>
    <w:multiLevelType w:val="hybridMultilevel"/>
    <w:tmpl w:val="E36648A2"/>
    <w:lvl w:ilvl="0" w:tplc="4058D09E">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72B2610"/>
    <w:multiLevelType w:val="multilevel"/>
    <w:tmpl w:val="FE3495B8"/>
    <w:lvl w:ilvl="0">
      <w:start w:val="3"/>
      <w:numFmt w:val="decimal"/>
      <w:lvlText w:val="%1."/>
      <w:lvlJc w:val="left"/>
      <w:pPr>
        <w:ind w:left="495" w:hanging="495"/>
      </w:pPr>
      <w:rPr>
        <w:rFonts w:hint="default"/>
      </w:rPr>
    </w:lvl>
    <w:lvl w:ilvl="1">
      <w:start w:val="2"/>
      <w:numFmt w:val="decimal"/>
      <w:lvlText w:val="%1.%2."/>
      <w:lvlJc w:val="left"/>
      <w:pPr>
        <w:ind w:left="817" w:hanging="495"/>
      </w:pPr>
      <w:rPr>
        <w:rFonts w:hint="default"/>
      </w:rPr>
    </w:lvl>
    <w:lvl w:ilvl="2">
      <w:start w:val="2"/>
      <w:numFmt w:val="decimal"/>
      <w:lvlText w:val="%1.%2.%3."/>
      <w:lvlJc w:val="left"/>
      <w:pPr>
        <w:ind w:left="1713"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 w15:restartNumberingAfterBreak="0">
    <w:nsid w:val="08F60041"/>
    <w:multiLevelType w:val="multilevel"/>
    <w:tmpl w:val="4EAEE208"/>
    <w:lvl w:ilvl="0">
      <w:start w:val="1"/>
      <w:numFmt w:val="upperRoman"/>
      <w:lvlText w:val="%1."/>
      <w:lvlJc w:val="left"/>
      <w:pPr>
        <w:ind w:left="1004"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110D48EC"/>
    <w:multiLevelType w:val="multilevel"/>
    <w:tmpl w:val="9EA6E31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2A0298B"/>
    <w:multiLevelType w:val="multilevel"/>
    <w:tmpl w:val="9EA6E31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2C1341E"/>
    <w:multiLevelType w:val="hybridMultilevel"/>
    <w:tmpl w:val="2D7EC0BC"/>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09A7ED6"/>
    <w:multiLevelType w:val="hybridMultilevel"/>
    <w:tmpl w:val="3A0663E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74366A8"/>
    <w:multiLevelType w:val="hybridMultilevel"/>
    <w:tmpl w:val="BEB852B2"/>
    <w:lvl w:ilvl="0" w:tplc="040C0005">
      <w:start w:val="1"/>
      <w:numFmt w:val="bullet"/>
      <w:lvlText w:val=""/>
      <w:lvlJc w:val="left"/>
      <w:pPr>
        <w:ind w:left="1770" w:hanging="360"/>
      </w:pPr>
      <w:rPr>
        <w:rFonts w:ascii="Wingdings" w:hAnsi="Wingdings"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0" w15:restartNumberingAfterBreak="0">
    <w:nsid w:val="285C0876"/>
    <w:multiLevelType w:val="hybridMultilevel"/>
    <w:tmpl w:val="B3429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BE29DF"/>
    <w:multiLevelType w:val="hybridMultilevel"/>
    <w:tmpl w:val="EF24F282"/>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12F21D1"/>
    <w:multiLevelType w:val="multilevel"/>
    <w:tmpl w:val="2B80429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9372CD1"/>
    <w:multiLevelType w:val="hybridMultilevel"/>
    <w:tmpl w:val="15B631E4"/>
    <w:lvl w:ilvl="0" w:tplc="040C0003">
      <w:start w:val="1"/>
      <w:numFmt w:val="bullet"/>
      <w:lvlText w:val="o"/>
      <w:lvlJc w:val="left"/>
      <w:pPr>
        <w:ind w:left="1485" w:hanging="360"/>
      </w:pPr>
      <w:rPr>
        <w:rFonts w:ascii="Courier New" w:hAnsi="Courier New" w:cs="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4" w15:restartNumberingAfterBreak="0">
    <w:nsid w:val="396A56A6"/>
    <w:multiLevelType w:val="hybridMultilevel"/>
    <w:tmpl w:val="30768238"/>
    <w:lvl w:ilvl="0" w:tplc="517A0A3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CE30E9"/>
    <w:multiLevelType w:val="hybridMultilevel"/>
    <w:tmpl w:val="C186D070"/>
    <w:lvl w:ilvl="0" w:tplc="D930A678">
      <w:start w:val="1"/>
      <w:numFmt w:val="lowerLetter"/>
      <w:lvlText w:val="%1)"/>
      <w:lvlJc w:val="left"/>
      <w:pPr>
        <w:ind w:left="1364" w:hanging="360"/>
      </w:pPr>
      <w:rPr>
        <w:rFonts w:asciiTheme="minorHAnsi" w:eastAsiaTheme="minorHAnsi" w:hAnsiTheme="minorHAnsi" w:cstheme="minorBidi"/>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6" w15:restartNumberingAfterBreak="0">
    <w:nsid w:val="4B38742E"/>
    <w:multiLevelType w:val="multilevel"/>
    <w:tmpl w:val="9BACA126"/>
    <w:lvl w:ilvl="0">
      <w:start w:val="3"/>
      <w:numFmt w:val="decimal"/>
      <w:lvlText w:val="%1"/>
      <w:lvlJc w:val="left"/>
      <w:pPr>
        <w:ind w:left="435" w:hanging="435"/>
      </w:pPr>
      <w:rPr>
        <w:rFonts w:hint="default"/>
      </w:rPr>
    </w:lvl>
    <w:lvl w:ilvl="1">
      <w:start w:val="2"/>
      <w:numFmt w:val="decimal"/>
      <w:lvlText w:val="%1.%2"/>
      <w:lvlJc w:val="left"/>
      <w:pPr>
        <w:ind w:left="757" w:hanging="43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7" w15:restartNumberingAfterBreak="0">
    <w:nsid w:val="4FAB26C5"/>
    <w:multiLevelType w:val="multilevel"/>
    <w:tmpl w:val="256AA014"/>
    <w:lvl w:ilvl="0">
      <w:start w:val="3"/>
      <w:numFmt w:val="decimal"/>
      <w:lvlText w:val="%1."/>
      <w:lvlJc w:val="left"/>
      <w:pPr>
        <w:ind w:left="495" w:hanging="495"/>
      </w:pPr>
      <w:rPr>
        <w:rFonts w:hint="default"/>
      </w:rPr>
    </w:lvl>
    <w:lvl w:ilvl="1">
      <w:start w:val="1"/>
      <w:numFmt w:val="decimal"/>
      <w:lvlText w:val="%1.%2."/>
      <w:lvlJc w:val="left"/>
      <w:pPr>
        <w:ind w:left="1485" w:hanging="495"/>
      </w:pPr>
      <w:rPr>
        <w:rFonts w:hint="default"/>
      </w:rPr>
    </w:lvl>
    <w:lvl w:ilvl="2">
      <w:start w:val="1"/>
      <w:numFmt w:val="decimal"/>
      <w:lvlText w:val="%1.%2.%3."/>
      <w:lvlJc w:val="left"/>
      <w:pPr>
        <w:ind w:left="2563"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8" w15:restartNumberingAfterBreak="0">
    <w:nsid w:val="57580C5D"/>
    <w:multiLevelType w:val="multilevel"/>
    <w:tmpl w:val="EBDCE83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9F25A06"/>
    <w:multiLevelType w:val="hybridMultilevel"/>
    <w:tmpl w:val="ACBA11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456BD6"/>
    <w:multiLevelType w:val="hybridMultilevel"/>
    <w:tmpl w:val="7A2A2710"/>
    <w:lvl w:ilvl="0" w:tplc="74B84F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0B123D0"/>
    <w:multiLevelType w:val="multilevel"/>
    <w:tmpl w:val="5CB2707C"/>
    <w:lvl w:ilvl="0">
      <w:start w:val="3"/>
      <w:numFmt w:val="decimal"/>
      <w:lvlText w:val="%1."/>
      <w:lvlJc w:val="left"/>
      <w:pPr>
        <w:ind w:left="495" w:hanging="495"/>
      </w:pPr>
      <w:rPr>
        <w:rFonts w:hint="default"/>
        <w:b/>
      </w:rPr>
    </w:lvl>
    <w:lvl w:ilvl="1">
      <w:start w:val="2"/>
      <w:numFmt w:val="decimal"/>
      <w:lvlText w:val="%1.%2."/>
      <w:lvlJc w:val="left"/>
      <w:pPr>
        <w:ind w:left="817" w:hanging="495"/>
      </w:pPr>
      <w:rPr>
        <w:rFonts w:hint="default"/>
        <w:b/>
      </w:rPr>
    </w:lvl>
    <w:lvl w:ilvl="2">
      <w:start w:val="1"/>
      <w:numFmt w:val="decimal"/>
      <w:lvlText w:val="%1.%2.%3."/>
      <w:lvlJc w:val="left"/>
      <w:pPr>
        <w:ind w:left="1364" w:hanging="720"/>
      </w:pPr>
      <w:rPr>
        <w:rFonts w:hint="default"/>
        <w:b/>
      </w:rPr>
    </w:lvl>
    <w:lvl w:ilvl="3">
      <w:start w:val="1"/>
      <w:numFmt w:val="decimal"/>
      <w:lvlText w:val="%1.%2.%3.%4."/>
      <w:lvlJc w:val="left"/>
      <w:pPr>
        <w:ind w:left="1686" w:hanging="720"/>
      </w:pPr>
      <w:rPr>
        <w:rFonts w:hint="default"/>
        <w:b/>
      </w:rPr>
    </w:lvl>
    <w:lvl w:ilvl="4">
      <w:start w:val="1"/>
      <w:numFmt w:val="decimal"/>
      <w:lvlText w:val="%1.%2.%3.%4.%5."/>
      <w:lvlJc w:val="left"/>
      <w:pPr>
        <w:ind w:left="2368" w:hanging="1080"/>
      </w:pPr>
      <w:rPr>
        <w:rFonts w:hint="default"/>
        <w:b/>
      </w:rPr>
    </w:lvl>
    <w:lvl w:ilvl="5">
      <w:start w:val="1"/>
      <w:numFmt w:val="decimal"/>
      <w:lvlText w:val="%1.%2.%3.%4.%5.%6."/>
      <w:lvlJc w:val="left"/>
      <w:pPr>
        <w:ind w:left="2690" w:hanging="1080"/>
      </w:pPr>
      <w:rPr>
        <w:rFonts w:hint="default"/>
        <w:b/>
      </w:rPr>
    </w:lvl>
    <w:lvl w:ilvl="6">
      <w:start w:val="1"/>
      <w:numFmt w:val="decimal"/>
      <w:lvlText w:val="%1.%2.%3.%4.%5.%6.%7."/>
      <w:lvlJc w:val="left"/>
      <w:pPr>
        <w:ind w:left="3372" w:hanging="1440"/>
      </w:pPr>
      <w:rPr>
        <w:rFonts w:hint="default"/>
        <w:b/>
      </w:rPr>
    </w:lvl>
    <w:lvl w:ilvl="7">
      <w:start w:val="1"/>
      <w:numFmt w:val="decimal"/>
      <w:lvlText w:val="%1.%2.%3.%4.%5.%6.%7.%8."/>
      <w:lvlJc w:val="left"/>
      <w:pPr>
        <w:ind w:left="3694" w:hanging="1440"/>
      </w:pPr>
      <w:rPr>
        <w:rFonts w:hint="default"/>
        <w:b/>
      </w:rPr>
    </w:lvl>
    <w:lvl w:ilvl="8">
      <w:start w:val="1"/>
      <w:numFmt w:val="decimal"/>
      <w:lvlText w:val="%1.%2.%3.%4.%5.%6.%7.%8.%9."/>
      <w:lvlJc w:val="left"/>
      <w:pPr>
        <w:ind w:left="4376" w:hanging="1800"/>
      </w:pPr>
      <w:rPr>
        <w:rFonts w:hint="default"/>
        <w:b/>
      </w:rPr>
    </w:lvl>
  </w:abstractNum>
  <w:abstractNum w:abstractNumId="22" w15:restartNumberingAfterBreak="0">
    <w:nsid w:val="62E663C7"/>
    <w:multiLevelType w:val="multilevel"/>
    <w:tmpl w:val="23DCF7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47C3281"/>
    <w:multiLevelType w:val="hybridMultilevel"/>
    <w:tmpl w:val="C908F1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4D510EC"/>
    <w:multiLevelType w:val="hybridMultilevel"/>
    <w:tmpl w:val="D8BEA3F2"/>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5815BBA"/>
    <w:multiLevelType w:val="hybridMultilevel"/>
    <w:tmpl w:val="DF44DF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D4073CB"/>
    <w:multiLevelType w:val="hybridMultilevel"/>
    <w:tmpl w:val="FC0613D0"/>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7" w15:restartNumberingAfterBreak="0">
    <w:nsid w:val="750627BC"/>
    <w:multiLevelType w:val="multilevel"/>
    <w:tmpl w:val="FE3495B8"/>
    <w:lvl w:ilvl="0">
      <w:start w:val="3"/>
      <w:numFmt w:val="decimal"/>
      <w:lvlText w:val="%1."/>
      <w:lvlJc w:val="left"/>
      <w:pPr>
        <w:ind w:left="495" w:hanging="495"/>
      </w:pPr>
      <w:rPr>
        <w:rFonts w:hint="default"/>
      </w:rPr>
    </w:lvl>
    <w:lvl w:ilvl="1">
      <w:start w:val="2"/>
      <w:numFmt w:val="decimal"/>
      <w:lvlText w:val="%1.%2."/>
      <w:lvlJc w:val="left"/>
      <w:pPr>
        <w:ind w:left="817" w:hanging="495"/>
      </w:pPr>
      <w:rPr>
        <w:rFonts w:hint="default"/>
      </w:rPr>
    </w:lvl>
    <w:lvl w:ilvl="2">
      <w:start w:val="2"/>
      <w:numFmt w:val="decimal"/>
      <w:lvlText w:val="%1.%2.%3."/>
      <w:lvlJc w:val="left"/>
      <w:pPr>
        <w:ind w:left="1713"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28" w15:restartNumberingAfterBreak="0">
    <w:nsid w:val="78BE5A00"/>
    <w:multiLevelType w:val="hybridMultilevel"/>
    <w:tmpl w:val="724C6E18"/>
    <w:lvl w:ilvl="0" w:tplc="E88C0724">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5"/>
  </w:num>
  <w:num w:numId="4">
    <w:abstractNumId w:val="24"/>
  </w:num>
  <w:num w:numId="5">
    <w:abstractNumId w:val="4"/>
  </w:num>
  <w:num w:numId="6">
    <w:abstractNumId w:val="6"/>
  </w:num>
  <w:num w:numId="7">
    <w:abstractNumId w:val="8"/>
  </w:num>
  <w:num w:numId="8">
    <w:abstractNumId w:val="28"/>
  </w:num>
  <w:num w:numId="9">
    <w:abstractNumId w:val="11"/>
  </w:num>
  <w:num w:numId="10">
    <w:abstractNumId w:val="7"/>
  </w:num>
  <w:num w:numId="11">
    <w:abstractNumId w:val="1"/>
  </w:num>
  <w:num w:numId="12">
    <w:abstractNumId w:val="18"/>
  </w:num>
  <w:num w:numId="13">
    <w:abstractNumId w:val="17"/>
  </w:num>
  <w:num w:numId="14">
    <w:abstractNumId w:val="12"/>
  </w:num>
  <w:num w:numId="15">
    <w:abstractNumId w:val="14"/>
  </w:num>
  <w:num w:numId="16">
    <w:abstractNumId w:val="0"/>
  </w:num>
  <w:num w:numId="17">
    <w:abstractNumId w:val="2"/>
  </w:num>
  <w:num w:numId="18">
    <w:abstractNumId w:val="10"/>
  </w:num>
  <w:num w:numId="19">
    <w:abstractNumId w:val="19"/>
  </w:num>
  <w:num w:numId="20">
    <w:abstractNumId w:val="20"/>
  </w:num>
  <w:num w:numId="21">
    <w:abstractNumId w:val="9"/>
  </w:num>
  <w:num w:numId="22">
    <w:abstractNumId w:val="16"/>
  </w:num>
  <w:num w:numId="23">
    <w:abstractNumId w:val="3"/>
  </w:num>
  <w:num w:numId="24">
    <w:abstractNumId w:val="13"/>
  </w:num>
  <w:num w:numId="25">
    <w:abstractNumId w:val="15"/>
  </w:num>
  <w:num w:numId="26">
    <w:abstractNumId w:val="25"/>
  </w:num>
  <w:num w:numId="27">
    <w:abstractNumId w:val="21"/>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C2"/>
    <w:rsid w:val="00000174"/>
    <w:rsid w:val="000013C3"/>
    <w:rsid w:val="00037010"/>
    <w:rsid w:val="00047778"/>
    <w:rsid w:val="0005040D"/>
    <w:rsid w:val="00052D8A"/>
    <w:rsid w:val="00057A9F"/>
    <w:rsid w:val="00062DDE"/>
    <w:rsid w:val="000738A8"/>
    <w:rsid w:val="00074584"/>
    <w:rsid w:val="00086567"/>
    <w:rsid w:val="00090057"/>
    <w:rsid w:val="00092463"/>
    <w:rsid w:val="000B0ADB"/>
    <w:rsid w:val="000B3156"/>
    <w:rsid w:val="000C4B31"/>
    <w:rsid w:val="000C5F55"/>
    <w:rsid w:val="000E0630"/>
    <w:rsid w:val="00104CCF"/>
    <w:rsid w:val="0011295B"/>
    <w:rsid w:val="00143088"/>
    <w:rsid w:val="0015601F"/>
    <w:rsid w:val="00160914"/>
    <w:rsid w:val="00161C2F"/>
    <w:rsid w:val="0018416D"/>
    <w:rsid w:val="0018593E"/>
    <w:rsid w:val="00187327"/>
    <w:rsid w:val="00187345"/>
    <w:rsid w:val="001C0044"/>
    <w:rsid w:val="001C0E34"/>
    <w:rsid w:val="001C61A9"/>
    <w:rsid w:val="001D4DD7"/>
    <w:rsid w:val="001E76C5"/>
    <w:rsid w:val="001F2C4F"/>
    <w:rsid w:val="00210240"/>
    <w:rsid w:val="002169AF"/>
    <w:rsid w:val="002174C0"/>
    <w:rsid w:val="0022110C"/>
    <w:rsid w:val="002238A7"/>
    <w:rsid w:val="0023697D"/>
    <w:rsid w:val="00241644"/>
    <w:rsid w:val="002512E2"/>
    <w:rsid w:val="002537C7"/>
    <w:rsid w:val="0025797C"/>
    <w:rsid w:val="00257FAF"/>
    <w:rsid w:val="00266711"/>
    <w:rsid w:val="0027046F"/>
    <w:rsid w:val="002761CB"/>
    <w:rsid w:val="0027696F"/>
    <w:rsid w:val="00277668"/>
    <w:rsid w:val="00277AD9"/>
    <w:rsid w:val="00282675"/>
    <w:rsid w:val="00284A7A"/>
    <w:rsid w:val="00285D71"/>
    <w:rsid w:val="002B04AA"/>
    <w:rsid w:val="002B45C2"/>
    <w:rsid w:val="002D0DC3"/>
    <w:rsid w:val="002D4EEB"/>
    <w:rsid w:val="003043E3"/>
    <w:rsid w:val="00304455"/>
    <w:rsid w:val="00311933"/>
    <w:rsid w:val="003149FF"/>
    <w:rsid w:val="00326024"/>
    <w:rsid w:val="003265B7"/>
    <w:rsid w:val="0033377D"/>
    <w:rsid w:val="00333C0E"/>
    <w:rsid w:val="003343E7"/>
    <w:rsid w:val="00337645"/>
    <w:rsid w:val="00347C23"/>
    <w:rsid w:val="00352592"/>
    <w:rsid w:val="00354854"/>
    <w:rsid w:val="00376432"/>
    <w:rsid w:val="003A2401"/>
    <w:rsid w:val="003A3FA7"/>
    <w:rsid w:val="003A5286"/>
    <w:rsid w:val="003B1C81"/>
    <w:rsid w:val="003B3F89"/>
    <w:rsid w:val="003B4BB7"/>
    <w:rsid w:val="003B4FAA"/>
    <w:rsid w:val="003B7542"/>
    <w:rsid w:val="003C1C28"/>
    <w:rsid w:val="003C6DD3"/>
    <w:rsid w:val="003D29E1"/>
    <w:rsid w:val="003D793C"/>
    <w:rsid w:val="003E26DF"/>
    <w:rsid w:val="003E278C"/>
    <w:rsid w:val="003E535F"/>
    <w:rsid w:val="004059F5"/>
    <w:rsid w:val="00405A2C"/>
    <w:rsid w:val="00405A3A"/>
    <w:rsid w:val="00405B09"/>
    <w:rsid w:val="0040625B"/>
    <w:rsid w:val="00422BA0"/>
    <w:rsid w:val="004235EA"/>
    <w:rsid w:val="00430456"/>
    <w:rsid w:val="00434376"/>
    <w:rsid w:val="0044053F"/>
    <w:rsid w:val="00440851"/>
    <w:rsid w:val="00440B96"/>
    <w:rsid w:val="004421F0"/>
    <w:rsid w:val="00445D2C"/>
    <w:rsid w:val="00460078"/>
    <w:rsid w:val="00460E89"/>
    <w:rsid w:val="00462589"/>
    <w:rsid w:val="004763CD"/>
    <w:rsid w:val="00483F1C"/>
    <w:rsid w:val="004925C2"/>
    <w:rsid w:val="004948AE"/>
    <w:rsid w:val="00496F71"/>
    <w:rsid w:val="004B3798"/>
    <w:rsid w:val="004B3EDA"/>
    <w:rsid w:val="004B4583"/>
    <w:rsid w:val="004B59F1"/>
    <w:rsid w:val="004D03E1"/>
    <w:rsid w:val="004D09ED"/>
    <w:rsid w:val="004D3A23"/>
    <w:rsid w:val="004D7D8F"/>
    <w:rsid w:val="004D7F09"/>
    <w:rsid w:val="004E6010"/>
    <w:rsid w:val="004E678C"/>
    <w:rsid w:val="004E72B0"/>
    <w:rsid w:val="00501DBC"/>
    <w:rsid w:val="00505820"/>
    <w:rsid w:val="00507017"/>
    <w:rsid w:val="00520EEF"/>
    <w:rsid w:val="0052137B"/>
    <w:rsid w:val="00524FD8"/>
    <w:rsid w:val="005257C7"/>
    <w:rsid w:val="00530923"/>
    <w:rsid w:val="005406F4"/>
    <w:rsid w:val="0054676C"/>
    <w:rsid w:val="005566CC"/>
    <w:rsid w:val="00562F94"/>
    <w:rsid w:val="00572F3B"/>
    <w:rsid w:val="0057373F"/>
    <w:rsid w:val="00577CC0"/>
    <w:rsid w:val="00584384"/>
    <w:rsid w:val="00590816"/>
    <w:rsid w:val="005926B3"/>
    <w:rsid w:val="00596CC7"/>
    <w:rsid w:val="00596CED"/>
    <w:rsid w:val="00597A46"/>
    <w:rsid w:val="005B3448"/>
    <w:rsid w:val="005B4BF9"/>
    <w:rsid w:val="005B72CE"/>
    <w:rsid w:val="005C10D7"/>
    <w:rsid w:val="005D1139"/>
    <w:rsid w:val="005D1B5A"/>
    <w:rsid w:val="005E3676"/>
    <w:rsid w:val="005E713F"/>
    <w:rsid w:val="005F38BE"/>
    <w:rsid w:val="006010F3"/>
    <w:rsid w:val="00611831"/>
    <w:rsid w:val="00613337"/>
    <w:rsid w:val="006164EE"/>
    <w:rsid w:val="00621435"/>
    <w:rsid w:val="00623BA5"/>
    <w:rsid w:val="0062646D"/>
    <w:rsid w:val="0063124E"/>
    <w:rsid w:val="00634565"/>
    <w:rsid w:val="0064154B"/>
    <w:rsid w:val="00643A84"/>
    <w:rsid w:val="00645A01"/>
    <w:rsid w:val="006476C7"/>
    <w:rsid w:val="0065073B"/>
    <w:rsid w:val="00666F16"/>
    <w:rsid w:val="0069065D"/>
    <w:rsid w:val="00696DC9"/>
    <w:rsid w:val="006A2552"/>
    <w:rsid w:val="006C6895"/>
    <w:rsid w:val="006C6B8A"/>
    <w:rsid w:val="006D5F6E"/>
    <w:rsid w:val="006D6876"/>
    <w:rsid w:val="006E380F"/>
    <w:rsid w:val="006F72F7"/>
    <w:rsid w:val="00702047"/>
    <w:rsid w:val="00712E24"/>
    <w:rsid w:val="00721153"/>
    <w:rsid w:val="007333CB"/>
    <w:rsid w:val="00734EC8"/>
    <w:rsid w:val="00747CBA"/>
    <w:rsid w:val="00776BCB"/>
    <w:rsid w:val="007833AC"/>
    <w:rsid w:val="00791F9C"/>
    <w:rsid w:val="007C3CCA"/>
    <w:rsid w:val="007D3E0C"/>
    <w:rsid w:val="007F1A09"/>
    <w:rsid w:val="007F2201"/>
    <w:rsid w:val="00811752"/>
    <w:rsid w:val="0081176E"/>
    <w:rsid w:val="008226D9"/>
    <w:rsid w:val="00823D00"/>
    <w:rsid w:val="008242BF"/>
    <w:rsid w:val="0083731F"/>
    <w:rsid w:val="0084056D"/>
    <w:rsid w:val="0085276F"/>
    <w:rsid w:val="0086256B"/>
    <w:rsid w:val="0086400F"/>
    <w:rsid w:val="00870853"/>
    <w:rsid w:val="0087562D"/>
    <w:rsid w:val="00880F98"/>
    <w:rsid w:val="008819BD"/>
    <w:rsid w:val="008A7814"/>
    <w:rsid w:val="008C0B5F"/>
    <w:rsid w:val="008C71AA"/>
    <w:rsid w:val="008D1755"/>
    <w:rsid w:val="008D5680"/>
    <w:rsid w:val="008E1ACB"/>
    <w:rsid w:val="008F65E2"/>
    <w:rsid w:val="008F7AF0"/>
    <w:rsid w:val="00901B41"/>
    <w:rsid w:val="00922FFC"/>
    <w:rsid w:val="0092416D"/>
    <w:rsid w:val="00942BA9"/>
    <w:rsid w:val="00964A5C"/>
    <w:rsid w:val="00965F43"/>
    <w:rsid w:val="00970475"/>
    <w:rsid w:val="00980BB0"/>
    <w:rsid w:val="0099126C"/>
    <w:rsid w:val="00993A19"/>
    <w:rsid w:val="00993B81"/>
    <w:rsid w:val="0099501D"/>
    <w:rsid w:val="009C48CD"/>
    <w:rsid w:val="009F229E"/>
    <w:rsid w:val="009F6C32"/>
    <w:rsid w:val="00A067B5"/>
    <w:rsid w:val="00A16AB5"/>
    <w:rsid w:val="00A220D0"/>
    <w:rsid w:val="00A2545D"/>
    <w:rsid w:val="00A5121E"/>
    <w:rsid w:val="00A5351C"/>
    <w:rsid w:val="00A56CF3"/>
    <w:rsid w:val="00A61034"/>
    <w:rsid w:val="00A67FAD"/>
    <w:rsid w:val="00A72E2A"/>
    <w:rsid w:val="00A76C2B"/>
    <w:rsid w:val="00A85326"/>
    <w:rsid w:val="00A866BB"/>
    <w:rsid w:val="00A873C3"/>
    <w:rsid w:val="00A8779E"/>
    <w:rsid w:val="00AA2492"/>
    <w:rsid w:val="00AA5B46"/>
    <w:rsid w:val="00AB77AD"/>
    <w:rsid w:val="00AC0E4D"/>
    <w:rsid w:val="00AC487B"/>
    <w:rsid w:val="00AC4FE1"/>
    <w:rsid w:val="00AD6D43"/>
    <w:rsid w:val="00AE3F56"/>
    <w:rsid w:val="00AE5AD6"/>
    <w:rsid w:val="00AF1092"/>
    <w:rsid w:val="00B0047D"/>
    <w:rsid w:val="00B1257F"/>
    <w:rsid w:val="00B20797"/>
    <w:rsid w:val="00B24A52"/>
    <w:rsid w:val="00B25AD0"/>
    <w:rsid w:val="00B30D79"/>
    <w:rsid w:val="00B31E44"/>
    <w:rsid w:val="00B3444B"/>
    <w:rsid w:val="00B73AC5"/>
    <w:rsid w:val="00B75334"/>
    <w:rsid w:val="00B75D3E"/>
    <w:rsid w:val="00B82255"/>
    <w:rsid w:val="00B90434"/>
    <w:rsid w:val="00B90D8F"/>
    <w:rsid w:val="00BA2D88"/>
    <w:rsid w:val="00BE36FA"/>
    <w:rsid w:val="00BE6099"/>
    <w:rsid w:val="00BF0184"/>
    <w:rsid w:val="00BF0A2B"/>
    <w:rsid w:val="00BF4DBF"/>
    <w:rsid w:val="00C128DE"/>
    <w:rsid w:val="00C14BF2"/>
    <w:rsid w:val="00C15394"/>
    <w:rsid w:val="00C25BD5"/>
    <w:rsid w:val="00C27D01"/>
    <w:rsid w:val="00C518CA"/>
    <w:rsid w:val="00C56F91"/>
    <w:rsid w:val="00C5740E"/>
    <w:rsid w:val="00C777AE"/>
    <w:rsid w:val="00C82AD0"/>
    <w:rsid w:val="00C86768"/>
    <w:rsid w:val="00C978B1"/>
    <w:rsid w:val="00C97C19"/>
    <w:rsid w:val="00CA72D6"/>
    <w:rsid w:val="00CB1493"/>
    <w:rsid w:val="00CB5E52"/>
    <w:rsid w:val="00CB76DB"/>
    <w:rsid w:val="00CC4769"/>
    <w:rsid w:val="00CC52C0"/>
    <w:rsid w:val="00CC716F"/>
    <w:rsid w:val="00CD0A43"/>
    <w:rsid w:val="00CD3F00"/>
    <w:rsid w:val="00CD5EDD"/>
    <w:rsid w:val="00CE0E4E"/>
    <w:rsid w:val="00CF2029"/>
    <w:rsid w:val="00D14A42"/>
    <w:rsid w:val="00D20064"/>
    <w:rsid w:val="00D2333F"/>
    <w:rsid w:val="00D40E88"/>
    <w:rsid w:val="00D42AC6"/>
    <w:rsid w:val="00D458DE"/>
    <w:rsid w:val="00D47E5E"/>
    <w:rsid w:val="00D54BD9"/>
    <w:rsid w:val="00D551B8"/>
    <w:rsid w:val="00D55C3C"/>
    <w:rsid w:val="00D62100"/>
    <w:rsid w:val="00D64CB6"/>
    <w:rsid w:val="00D76D13"/>
    <w:rsid w:val="00D8469B"/>
    <w:rsid w:val="00D93697"/>
    <w:rsid w:val="00DA37EE"/>
    <w:rsid w:val="00DA442D"/>
    <w:rsid w:val="00DA5166"/>
    <w:rsid w:val="00DA6C90"/>
    <w:rsid w:val="00DC1726"/>
    <w:rsid w:val="00DD00DA"/>
    <w:rsid w:val="00DE2DD5"/>
    <w:rsid w:val="00E01EC0"/>
    <w:rsid w:val="00E04D1E"/>
    <w:rsid w:val="00E07004"/>
    <w:rsid w:val="00E12701"/>
    <w:rsid w:val="00E235CF"/>
    <w:rsid w:val="00E237DB"/>
    <w:rsid w:val="00E50933"/>
    <w:rsid w:val="00E53FA9"/>
    <w:rsid w:val="00E74407"/>
    <w:rsid w:val="00E87885"/>
    <w:rsid w:val="00E93411"/>
    <w:rsid w:val="00E94210"/>
    <w:rsid w:val="00EB3A9B"/>
    <w:rsid w:val="00EC712D"/>
    <w:rsid w:val="00EE1141"/>
    <w:rsid w:val="00EE4C4E"/>
    <w:rsid w:val="00EF3E91"/>
    <w:rsid w:val="00EF5E17"/>
    <w:rsid w:val="00F00538"/>
    <w:rsid w:val="00F05BB7"/>
    <w:rsid w:val="00F06BCF"/>
    <w:rsid w:val="00F07EDC"/>
    <w:rsid w:val="00F16734"/>
    <w:rsid w:val="00F17F51"/>
    <w:rsid w:val="00F2203C"/>
    <w:rsid w:val="00F230F6"/>
    <w:rsid w:val="00F54F31"/>
    <w:rsid w:val="00F57FE9"/>
    <w:rsid w:val="00F65486"/>
    <w:rsid w:val="00F670CA"/>
    <w:rsid w:val="00F72C3F"/>
    <w:rsid w:val="00F75FE0"/>
    <w:rsid w:val="00F82C42"/>
    <w:rsid w:val="00F858B9"/>
    <w:rsid w:val="00FA2B25"/>
    <w:rsid w:val="00FC55A1"/>
    <w:rsid w:val="00FE6A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BED28"/>
  <w15:docId w15:val="{FE5371E3-739C-4577-8BCA-2557A3C9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4B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4BB7"/>
    <w:rPr>
      <w:rFonts w:ascii="Segoe UI" w:hAnsi="Segoe UI" w:cs="Segoe UI"/>
      <w:sz w:val="18"/>
      <w:szCs w:val="18"/>
    </w:rPr>
  </w:style>
  <w:style w:type="paragraph" w:styleId="Paragraphedeliste">
    <w:name w:val="List Paragraph"/>
    <w:basedOn w:val="Normal"/>
    <w:uiPriority w:val="34"/>
    <w:qFormat/>
    <w:rsid w:val="003B4BB7"/>
    <w:pPr>
      <w:ind w:left="720"/>
      <w:contextualSpacing/>
    </w:pPr>
  </w:style>
  <w:style w:type="paragraph" w:styleId="Notedebasdepage">
    <w:name w:val="footnote text"/>
    <w:basedOn w:val="Normal"/>
    <w:link w:val="NotedebasdepageCar"/>
    <w:uiPriority w:val="99"/>
    <w:semiHidden/>
    <w:unhideWhenUsed/>
    <w:rsid w:val="00501D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01DBC"/>
    <w:rPr>
      <w:sz w:val="20"/>
      <w:szCs w:val="20"/>
    </w:rPr>
  </w:style>
  <w:style w:type="character" w:styleId="Appelnotedebasdep">
    <w:name w:val="footnote reference"/>
    <w:basedOn w:val="Policepardfaut"/>
    <w:uiPriority w:val="99"/>
    <w:semiHidden/>
    <w:unhideWhenUsed/>
    <w:rsid w:val="00501DBC"/>
    <w:rPr>
      <w:vertAlign w:val="superscript"/>
    </w:rPr>
  </w:style>
  <w:style w:type="character" w:styleId="Lienhypertexte">
    <w:name w:val="Hyperlink"/>
    <w:basedOn w:val="Policepardfaut"/>
    <w:uiPriority w:val="99"/>
    <w:unhideWhenUsed/>
    <w:rsid w:val="00CC52C0"/>
    <w:rPr>
      <w:color w:val="0563C1" w:themeColor="hyperlink"/>
      <w:u w:val="single"/>
    </w:rPr>
  </w:style>
  <w:style w:type="paragraph" w:styleId="Corpsdetexte">
    <w:name w:val="Body Text"/>
    <w:basedOn w:val="Normal"/>
    <w:link w:val="CorpsdetexteCar"/>
    <w:uiPriority w:val="99"/>
    <w:semiHidden/>
    <w:unhideWhenUsed/>
    <w:rsid w:val="00AC4FE1"/>
    <w:pPr>
      <w:spacing w:after="120"/>
    </w:pPr>
  </w:style>
  <w:style w:type="character" w:customStyle="1" w:styleId="CorpsdetexteCar">
    <w:name w:val="Corps de texte Car"/>
    <w:basedOn w:val="Policepardfaut"/>
    <w:link w:val="Corpsdetexte"/>
    <w:uiPriority w:val="99"/>
    <w:semiHidden/>
    <w:rsid w:val="00AC4FE1"/>
  </w:style>
  <w:style w:type="paragraph" w:styleId="En-tte">
    <w:name w:val="header"/>
    <w:basedOn w:val="Normal"/>
    <w:link w:val="En-tteCar"/>
    <w:uiPriority w:val="99"/>
    <w:unhideWhenUsed/>
    <w:rsid w:val="00B75D3E"/>
    <w:pPr>
      <w:tabs>
        <w:tab w:val="center" w:pos="4536"/>
        <w:tab w:val="right" w:pos="9072"/>
      </w:tabs>
      <w:spacing w:after="0" w:line="240" w:lineRule="auto"/>
    </w:pPr>
  </w:style>
  <w:style w:type="character" w:customStyle="1" w:styleId="En-tteCar">
    <w:name w:val="En-tête Car"/>
    <w:basedOn w:val="Policepardfaut"/>
    <w:link w:val="En-tte"/>
    <w:uiPriority w:val="99"/>
    <w:rsid w:val="00B75D3E"/>
  </w:style>
  <w:style w:type="paragraph" w:styleId="Pieddepage">
    <w:name w:val="footer"/>
    <w:basedOn w:val="Normal"/>
    <w:link w:val="PieddepageCar"/>
    <w:uiPriority w:val="99"/>
    <w:unhideWhenUsed/>
    <w:rsid w:val="00B75D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5D3E"/>
  </w:style>
  <w:style w:type="character" w:styleId="Marquedecommentaire">
    <w:name w:val="annotation reference"/>
    <w:basedOn w:val="Policepardfaut"/>
    <w:uiPriority w:val="99"/>
    <w:semiHidden/>
    <w:unhideWhenUsed/>
    <w:rsid w:val="002238A7"/>
    <w:rPr>
      <w:sz w:val="16"/>
      <w:szCs w:val="16"/>
    </w:rPr>
  </w:style>
  <w:style w:type="paragraph" w:styleId="Commentaire">
    <w:name w:val="annotation text"/>
    <w:basedOn w:val="Normal"/>
    <w:link w:val="CommentaireCar"/>
    <w:uiPriority w:val="99"/>
    <w:semiHidden/>
    <w:unhideWhenUsed/>
    <w:rsid w:val="002238A7"/>
    <w:pPr>
      <w:spacing w:line="240" w:lineRule="auto"/>
    </w:pPr>
    <w:rPr>
      <w:sz w:val="20"/>
      <w:szCs w:val="20"/>
    </w:rPr>
  </w:style>
  <w:style w:type="character" w:customStyle="1" w:styleId="CommentaireCar">
    <w:name w:val="Commentaire Car"/>
    <w:basedOn w:val="Policepardfaut"/>
    <w:link w:val="Commentaire"/>
    <w:uiPriority w:val="99"/>
    <w:semiHidden/>
    <w:rsid w:val="002238A7"/>
    <w:rPr>
      <w:sz w:val="20"/>
      <w:szCs w:val="20"/>
    </w:rPr>
  </w:style>
  <w:style w:type="paragraph" w:styleId="Objetducommentaire">
    <w:name w:val="annotation subject"/>
    <w:basedOn w:val="Commentaire"/>
    <w:next w:val="Commentaire"/>
    <w:link w:val="ObjetducommentaireCar"/>
    <w:uiPriority w:val="99"/>
    <w:semiHidden/>
    <w:unhideWhenUsed/>
    <w:rsid w:val="002238A7"/>
    <w:rPr>
      <w:b/>
      <w:bCs/>
    </w:rPr>
  </w:style>
  <w:style w:type="character" w:customStyle="1" w:styleId="ObjetducommentaireCar">
    <w:name w:val="Objet du commentaire Car"/>
    <w:basedOn w:val="CommentaireCar"/>
    <w:link w:val="Objetducommentaire"/>
    <w:uiPriority w:val="99"/>
    <w:semiHidden/>
    <w:rsid w:val="002238A7"/>
    <w:rPr>
      <w:b/>
      <w:bCs/>
      <w:sz w:val="20"/>
      <w:szCs w:val="20"/>
    </w:rPr>
  </w:style>
  <w:style w:type="paragraph" w:styleId="Rvision">
    <w:name w:val="Revision"/>
    <w:hidden/>
    <w:uiPriority w:val="99"/>
    <w:semiHidden/>
    <w:rsid w:val="003343E7"/>
    <w:pPr>
      <w:spacing w:after="0" w:line="240" w:lineRule="auto"/>
    </w:pPr>
  </w:style>
  <w:style w:type="paragraph" w:styleId="Sansinterligne">
    <w:name w:val="No Spacing"/>
    <w:uiPriority w:val="1"/>
    <w:qFormat/>
    <w:rsid w:val="00C14BF2"/>
    <w:pPr>
      <w:spacing w:after="0" w:line="240" w:lineRule="auto"/>
    </w:pPr>
  </w:style>
  <w:style w:type="table" w:styleId="Grilledutableau">
    <w:name w:val="Table Grid"/>
    <w:basedOn w:val="TableauNormal"/>
    <w:uiPriority w:val="39"/>
    <w:rsid w:val="00AB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23998">
      <w:bodyDiv w:val="1"/>
      <w:marLeft w:val="0"/>
      <w:marRight w:val="0"/>
      <w:marTop w:val="0"/>
      <w:marBottom w:val="0"/>
      <w:divBdr>
        <w:top w:val="none" w:sz="0" w:space="0" w:color="auto"/>
        <w:left w:val="none" w:sz="0" w:space="0" w:color="auto"/>
        <w:bottom w:val="none" w:sz="0" w:space="0" w:color="auto"/>
        <w:right w:val="none" w:sz="0" w:space="0" w:color="auto"/>
      </w:divBdr>
    </w:div>
    <w:div w:id="1256868446">
      <w:bodyDiv w:val="1"/>
      <w:marLeft w:val="0"/>
      <w:marRight w:val="0"/>
      <w:marTop w:val="0"/>
      <w:marBottom w:val="0"/>
      <w:divBdr>
        <w:top w:val="none" w:sz="0" w:space="0" w:color="auto"/>
        <w:left w:val="none" w:sz="0" w:space="0" w:color="auto"/>
        <w:bottom w:val="none" w:sz="0" w:space="0" w:color="auto"/>
        <w:right w:val="none" w:sz="0" w:space="0" w:color="auto"/>
      </w:divBdr>
    </w:div>
    <w:div w:id="1410350381">
      <w:bodyDiv w:val="1"/>
      <w:marLeft w:val="0"/>
      <w:marRight w:val="0"/>
      <w:marTop w:val="0"/>
      <w:marBottom w:val="0"/>
      <w:divBdr>
        <w:top w:val="none" w:sz="0" w:space="0" w:color="auto"/>
        <w:left w:val="none" w:sz="0" w:space="0" w:color="auto"/>
        <w:bottom w:val="none" w:sz="0" w:space="0" w:color="auto"/>
        <w:right w:val="none" w:sz="0" w:space="0" w:color="auto"/>
      </w:divBdr>
    </w:div>
    <w:div w:id="1604067653">
      <w:bodyDiv w:val="1"/>
      <w:marLeft w:val="0"/>
      <w:marRight w:val="0"/>
      <w:marTop w:val="0"/>
      <w:marBottom w:val="0"/>
      <w:divBdr>
        <w:top w:val="none" w:sz="0" w:space="0" w:color="auto"/>
        <w:left w:val="none" w:sz="0" w:space="0" w:color="auto"/>
        <w:bottom w:val="none" w:sz="0" w:space="0" w:color="auto"/>
        <w:right w:val="none" w:sz="0" w:space="0" w:color="auto"/>
      </w:divBdr>
    </w:div>
    <w:div w:id="169653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cidTexte=JORFTEXT000029313296&amp;idArticle=JORFARTI000029313536&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france.gouv.fr/affichTexteArticle.do?cidTexte=JORFTEXT000029313296&amp;idArticle=JORFARTI000029313541&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7ED16-640C-4949-8685-DAE4AB2F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10</Pages>
  <Words>4662</Words>
  <Characters>25645</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JEAN-CHARLES, Pascal (DGEFP)</dc:creator>
  <cp:lastModifiedBy>JEAN-CHARLES, Pascal (DGEFP)</cp:lastModifiedBy>
  <cp:revision>6</cp:revision>
  <cp:lastPrinted>2019-07-09T11:09:00Z</cp:lastPrinted>
  <dcterms:created xsi:type="dcterms:W3CDTF">2019-07-09T11:05:00Z</dcterms:created>
  <dcterms:modified xsi:type="dcterms:W3CDTF">2019-07-11T17:04:00Z</dcterms:modified>
</cp:coreProperties>
</file>